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951" w:rsidRPr="002F4951" w:rsidRDefault="002F4951" w:rsidP="002F495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zh-CN"/>
        </w:rPr>
      </w:pPr>
      <w:r w:rsidRPr="002F4951">
        <w:rPr>
          <w:rFonts w:ascii="Times New Roman" w:eastAsia="Times New Roman" w:hAnsi="Times New Roman" w:cs="Times New Roman"/>
          <w:b/>
          <w:bCs/>
          <w:color w:val="000000"/>
          <w:sz w:val="36"/>
          <w:szCs w:val="36"/>
          <w:lang w:eastAsia="zh-CN"/>
        </w:rPr>
        <w:t>Possible warning signals to be issued due to the impact on "</w:t>
      </w:r>
      <w:proofErr w:type="spellStart"/>
      <w:r w:rsidRPr="002F4951">
        <w:rPr>
          <w:rFonts w:ascii="Times New Roman" w:eastAsia="Times New Roman" w:hAnsi="Times New Roman" w:cs="Times New Roman"/>
          <w:b/>
          <w:bCs/>
          <w:color w:val="000000"/>
          <w:sz w:val="36"/>
          <w:szCs w:val="36"/>
          <w:lang w:eastAsia="zh-CN"/>
        </w:rPr>
        <w:t>Wipha</w:t>
      </w:r>
      <w:proofErr w:type="spellEnd"/>
      <w:r w:rsidRPr="002F4951">
        <w:rPr>
          <w:rFonts w:ascii="Times New Roman" w:eastAsia="Times New Roman" w:hAnsi="Times New Roman" w:cs="Times New Roman"/>
          <w:b/>
          <w:bCs/>
          <w:color w:val="000000"/>
          <w:sz w:val="36"/>
          <w:szCs w:val="36"/>
          <w:lang w:eastAsia="zh-CN"/>
        </w:rPr>
        <w:t>"</w:t>
      </w:r>
    </w:p>
    <w:p w:rsidR="002F4951" w:rsidRPr="002F4951" w:rsidRDefault="002F4951" w:rsidP="002F4951">
      <w:pPr>
        <w:spacing w:after="0" w:line="240" w:lineRule="auto"/>
        <w:jc w:val="center"/>
        <w:rPr>
          <w:rFonts w:ascii="Times New Roman" w:eastAsia="Times New Roman" w:hAnsi="Times New Roman" w:cs="Times New Roman"/>
          <w:color w:val="000000"/>
          <w:sz w:val="27"/>
          <w:szCs w:val="27"/>
          <w:lang w:eastAsia="zh-CN"/>
        </w:rPr>
      </w:pPr>
      <w:r w:rsidRPr="002F4951">
        <w:rPr>
          <w:rFonts w:ascii="Times New Roman" w:eastAsia="Times New Roman" w:hAnsi="Times New Roman" w:cs="Times New Roman"/>
          <w:color w:val="000000"/>
          <w:sz w:val="27"/>
          <w:szCs w:val="27"/>
          <w:lang w:eastAsia="zh-CN"/>
        </w:rPr>
        <w:t>Update Time: 2019-08-02 05:00</w:t>
      </w:r>
    </w:p>
    <w:tbl>
      <w:tblPr>
        <w:tblW w:w="5000" w:type="pct"/>
        <w:jc w:val="center"/>
        <w:tblCellMar>
          <w:top w:w="15" w:type="dxa"/>
          <w:left w:w="15" w:type="dxa"/>
          <w:bottom w:w="15" w:type="dxa"/>
          <w:right w:w="15" w:type="dxa"/>
        </w:tblCellMar>
        <w:tblLook w:val="04A0" w:firstRow="1" w:lastRow="0" w:firstColumn="1" w:lastColumn="0" w:noHBand="0" w:noVBand="1"/>
      </w:tblPr>
      <w:tblGrid>
        <w:gridCol w:w="2152"/>
        <w:gridCol w:w="4305"/>
        <w:gridCol w:w="2153"/>
      </w:tblGrid>
      <w:tr w:rsidR="002F4951" w:rsidRPr="002F4951" w:rsidTr="002F4951">
        <w:trPr>
          <w:jc w:val="center"/>
        </w:trPr>
        <w:tc>
          <w:tcPr>
            <w:tcW w:w="1250" w:type="pct"/>
            <w:tcBorders>
              <w:top w:val="single" w:sz="12" w:space="0" w:color="3A3A3A"/>
              <w:left w:val="single" w:sz="12" w:space="0" w:color="3A3A3A"/>
              <w:bottom w:val="single" w:sz="12" w:space="0" w:color="3A3A3A"/>
              <w:right w:val="single" w:sz="12" w:space="0" w:color="3A3A3A"/>
            </w:tcBorders>
            <w:shd w:val="clear" w:color="auto" w:fill="E9D8AB"/>
            <w:tcMar>
              <w:top w:w="120" w:type="dxa"/>
              <w:left w:w="120" w:type="dxa"/>
              <w:bottom w:w="120" w:type="dxa"/>
              <w:right w:w="120" w:type="dxa"/>
            </w:tcMar>
            <w:vAlign w:val="center"/>
            <w:hideMark/>
          </w:tcPr>
          <w:p w:rsidR="002F4951" w:rsidRPr="002F4951" w:rsidRDefault="002F4951" w:rsidP="002F4951">
            <w:pPr>
              <w:spacing w:after="0" w:line="240" w:lineRule="auto"/>
              <w:jc w:val="center"/>
              <w:rPr>
                <w:rFonts w:ascii="Arial" w:eastAsia="Times New Roman" w:hAnsi="Arial" w:cs="Arial"/>
                <w:sz w:val="27"/>
                <w:szCs w:val="27"/>
                <w:lang w:eastAsia="zh-CN"/>
              </w:rPr>
            </w:pPr>
            <w:r w:rsidRPr="002F4951">
              <w:rPr>
                <w:rFonts w:ascii="Arial" w:eastAsia="Times New Roman" w:hAnsi="Arial" w:cs="Arial"/>
                <w:b/>
                <w:bCs/>
                <w:sz w:val="27"/>
                <w:szCs w:val="27"/>
                <w:lang w:eastAsia="zh-CN"/>
              </w:rPr>
              <w:t>Signals</w:t>
            </w:r>
          </w:p>
        </w:tc>
        <w:tc>
          <w:tcPr>
            <w:tcW w:w="0" w:type="auto"/>
            <w:tcBorders>
              <w:top w:val="single" w:sz="12" w:space="0" w:color="3A3A3A"/>
              <w:left w:val="single" w:sz="12" w:space="0" w:color="3A3A3A"/>
              <w:bottom w:val="single" w:sz="12" w:space="0" w:color="3A3A3A"/>
              <w:right w:val="single" w:sz="12" w:space="0" w:color="3A3A3A"/>
            </w:tcBorders>
            <w:shd w:val="clear" w:color="auto" w:fill="E9D8AB"/>
            <w:tcMar>
              <w:top w:w="120" w:type="dxa"/>
              <w:left w:w="120" w:type="dxa"/>
              <w:bottom w:w="120" w:type="dxa"/>
              <w:right w:w="120" w:type="dxa"/>
            </w:tcMar>
            <w:vAlign w:val="center"/>
            <w:hideMark/>
          </w:tcPr>
          <w:p w:rsidR="002F4951" w:rsidRPr="002F4951" w:rsidRDefault="002F4951" w:rsidP="002F4951">
            <w:pPr>
              <w:spacing w:after="0" w:line="240" w:lineRule="auto"/>
              <w:jc w:val="center"/>
              <w:rPr>
                <w:rFonts w:ascii="Arial" w:eastAsia="Times New Roman" w:hAnsi="Arial" w:cs="Arial"/>
                <w:sz w:val="27"/>
                <w:szCs w:val="27"/>
                <w:lang w:eastAsia="zh-CN"/>
              </w:rPr>
            </w:pPr>
            <w:r w:rsidRPr="002F4951">
              <w:rPr>
                <w:rFonts w:ascii="Arial" w:eastAsia="Times New Roman" w:hAnsi="Arial" w:cs="Arial"/>
                <w:b/>
                <w:bCs/>
                <w:sz w:val="27"/>
                <w:szCs w:val="27"/>
                <w:lang w:eastAsia="zh-CN"/>
              </w:rPr>
              <w:t>Forecast Period</w:t>
            </w:r>
          </w:p>
        </w:tc>
        <w:tc>
          <w:tcPr>
            <w:tcW w:w="1250" w:type="pct"/>
            <w:tcBorders>
              <w:top w:val="single" w:sz="12" w:space="0" w:color="3A3A3A"/>
              <w:left w:val="single" w:sz="12" w:space="0" w:color="3A3A3A"/>
              <w:bottom w:val="single" w:sz="12" w:space="0" w:color="3A3A3A"/>
              <w:right w:val="single" w:sz="12" w:space="0" w:color="3A3A3A"/>
            </w:tcBorders>
            <w:shd w:val="clear" w:color="auto" w:fill="E9D8AB"/>
            <w:tcMar>
              <w:top w:w="120" w:type="dxa"/>
              <w:left w:w="120" w:type="dxa"/>
              <w:bottom w:w="120" w:type="dxa"/>
              <w:right w:w="120" w:type="dxa"/>
            </w:tcMar>
            <w:vAlign w:val="center"/>
            <w:hideMark/>
          </w:tcPr>
          <w:p w:rsidR="002F4951" w:rsidRPr="002F4951" w:rsidRDefault="002F4951" w:rsidP="002F4951">
            <w:pPr>
              <w:spacing w:after="0" w:line="240" w:lineRule="auto"/>
              <w:jc w:val="center"/>
              <w:rPr>
                <w:rFonts w:ascii="Arial" w:eastAsia="Times New Roman" w:hAnsi="Arial" w:cs="Arial"/>
                <w:sz w:val="27"/>
                <w:szCs w:val="27"/>
                <w:lang w:eastAsia="zh-CN"/>
              </w:rPr>
            </w:pPr>
            <w:r w:rsidRPr="002F4951">
              <w:rPr>
                <w:rFonts w:ascii="Arial" w:eastAsia="Times New Roman" w:hAnsi="Arial" w:cs="Arial"/>
                <w:b/>
                <w:bCs/>
                <w:sz w:val="27"/>
                <w:szCs w:val="27"/>
                <w:lang w:eastAsia="zh-CN"/>
              </w:rPr>
              <w:t>Probability</w:t>
            </w:r>
          </w:p>
        </w:tc>
      </w:tr>
      <w:tr w:rsidR="002F4951" w:rsidRPr="002F4951" w:rsidTr="002F4951">
        <w:trPr>
          <w:jc w:val="center"/>
        </w:trPr>
        <w:tc>
          <w:tcPr>
            <w:tcW w:w="0" w:type="auto"/>
            <w:tcBorders>
              <w:top w:val="single" w:sz="12" w:space="0" w:color="3A3A3A"/>
              <w:left w:val="single" w:sz="12" w:space="0" w:color="3A3A3A"/>
              <w:bottom w:val="single" w:sz="12" w:space="0" w:color="3A3A3A"/>
              <w:right w:val="single" w:sz="12" w:space="0" w:color="3A3A3A"/>
            </w:tcBorders>
            <w:shd w:val="clear" w:color="auto" w:fill="E2F2F4"/>
            <w:tcMar>
              <w:top w:w="120" w:type="dxa"/>
              <w:left w:w="120" w:type="dxa"/>
              <w:bottom w:w="120" w:type="dxa"/>
              <w:right w:w="120" w:type="dxa"/>
            </w:tcMar>
            <w:vAlign w:val="center"/>
            <w:hideMark/>
          </w:tcPr>
          <w:p w:rsidR="002F4951" w:rsidRPr="002F4951" w:rsidRDefault="002F4951" w:rsidP="002F4951">
            <w:pPr>
              <w:spacing w:after="0" w:line="240" w:lineRule="auto"/>
              <w:jc w:val="center"/>
              <w:rPr>
                <w:rFonts w:ascii="Arial" w:eastAsia="Times New Roman" w:hAnsi="Arial" w:cs="Arial"/>
                <w:sz w:val="27"/>
                <w:szCs w:val="27"/>
                <w:lang w:eastAsia="zh-CN"/>
              </w:rPr>
            </w:pPr>
            <w:r w:rsidRPr="002F4951">
              <w:rPr>
                <w:rFonts w:ascii="Arial" w:eastAsia="Times New Roman" w:hAnsi="Arial" w:cs="Arial"/>
                <w:sz w:val="27"/>
                <w:szCs w:val="27"/>
                <w:lang w:eastAsia="zh-CN"/>
              </w:rPr>
              <w:t>Typhoon Signal No.1</w:t>
            </w:r>
          </w:p>
        </w:tc>
        <w:tc>
          <w:tcPr>
            <w:tcW w:w="0" w:type="auto"/>
            <w:gridSpan w:val="2"/>
            <w:tcBorders>
              <w:top w:val="single" w:sz="12" w:space="0" w:color="3A3A3A"/>
              <w:left w:val="single" w:sz="12" w:space="0" w:color="3A3A3A"/>
              <w:bottom w:val="single" w:sz="12" w:space="0" w:color="3A3A3A"/>
              <w:right w:val="single" w:sz="12" w:space="0" w:color="3A3A3A"/>
            </w:tcBorders>
            <w:shd w:val="clear" w:color="auto" w:fill="E2F2F4"/>
            <w:tcMar>
              <w:top w:w="120" w:type="dxa"/>
              <w:left w:w="120" w:type="dxa"/>
              <w:bottom w:w="120" w:type="dxa"/>
              <w:right w:w="120" w:type="dxa"/>
            </w:tcMar>
            <w:vAlign w:val="center"/>
            <w:hideMark/>
          </w:tcPr>
          <w:p w:rsidR="002F4951" w:rsidRPr="002F4951" w:rsidRDefault="002F4951" w:rsidP="002F4951">
            <w:pPr>
              <w:spacing w:after="0" w:line="240" w:lineRule="auto"/>
              <w:jc w:val="center"/>
              <w:rPr>
                <w:rFonts w:ascii="Arial" w:eastAsia="Times New Roman" w:hAnsi="Arial" w:cs="Arial"/>
                <w:sz w:val="27"/>
                <w:szCs w:val="27"/>
                <w:lang w:eastAsia="zh-CN"/>
              </w:rPr>
            </w:pPr>
            <w:r w:rsidRPr="002F4951">
              <w:rPr>
                <w:rFonts w:ascii="Arial" w:eastAsia="Times New Roman" w:hAnsi="Arial" w:cs="Arial"/>
                <w:sz w:val="27"/>
                <w:szCs w:val="27"/>
                <w:lang w:eastAsia="zh-CN"/>
              </w:rPr>
              <w:t>In effective</w:t>
            </w:r>
          </w:p>
        </w:tc>
      </w:tr>
      <w:tr w:rsidR="002F4951" w:rsidRPr="002F4951" w:rsidTr="002F4951">
        <w:trPr>
          <w:jc w:val="center"/>
        </w:trPr>
        <w:tc>
          <w:tcPr>
            <w:tcW w:w="0" w:type="auto"/>
            <w:tcBorders>
              <w:top w:val="single" w:sz="12" w:space="0" w:color="3A3A3A"/>
              <w:left w:val="single" w:sz="12" w:space="0" w:color="3A3A3A"/>
              <w:bottom w:val="single" w:sz="12" w:space="0" w:color="3A3A3A"/>
              <w:right w:val="single" w:sz="12" w:space="0" w:color="3A3A3A"/>
            </w:tcBorders>
            <w:shd w:val="clear" w:color="auto" w:fill="E9F6D6"/>
            <w:tcMar>
              <w:top w:w="120" w:type="dxa"/>
              <w:left w:w="120" w:type="dxa"/>
              <w:bottom w:w="120" w:type="dxa"/>
              <w:right w:w="120" w:type="dxa"/>
            </w:tcMar>
            <w:vAlign w:val="center"/>
            <w:hideMark/>
          </w:tcPr>
          <w:p w:rsidR="002F4951" w:rsidRPr="002F4951" w:rsidRDefault="002F4951" w:rsidP="002F4951">
            <w:pPr>
              <w:spacing w:after="0" w:line="240" w:lineRule="auto"/>
              <w:jc w:val="center"/>
              <w:rPr>
                <w:rFonts w:ascii="Arial" w:eastAsia="Times New Roman" w:hAnsi="Arial" w:cs="Arial"/>
                <w:sz w:val="27"/>
                <w:szCs w:val="27"/>
                <w:lang w:eastAsia="zh-CN"/>
              </w:rPr>
            </w:pPr>
            <w:r w:rsidRPr="002F4951">
              <w:rPr>
                <w:rFonts w:ascii="Arial" w:eastAsia="Times New Roman" w:hAnsi="Arial" w:cs="Arial"/>
                <w:sz w:val="27"/>
                <w:szCs w:val="27"/>
                <w:lang w:eastAsia="zh-CN"/>
              </w:rPr>
              <w:t>"blue" Storm Surge Warning</w:t>
            </w:r>
          </w:p>
        </w:tc>
        <w:tc>
          <w:tcPr>
            <w:tcW w:w="0" w:type="auto"/>
            <w:gridSpan w:val="2"/>
            <w:tcBorders>
              <w:top w:val="single" w:sz="12" w:space="0" w:color="3A3A3A"/>
              <w:left w:val="single" w:sz="12" w:space="0" w:color="3A3A3A"/>
              <w:bottom w:val="single" w:sz="12" w:space="0" w:color="3A3A3A"/>
              <w:right w:val="single" w:sz="12" w:space="0" w:color="3A3A3A"/>
            </w:tcBorders>
            <w:shd w:val="clear" w:color="auto" w:fill="E9F6D6"/>
            <w:tcMar>
              <w:top w:w="120" w:type="dxa"/>
              <w:left w:w="120" w:type="dxa"/>
              <w:bottom w:w="120" w:type="dxa"/>
              <w:right w:w="120" w:type="dxa"/>
            </w:tcMar>
            <w:vAlign w:val="center"/>
            <w:hideMark/>
          </w:tcPr>
          <w:p w:rsidR="002F4951" w:rsidRPr="002F4951" w:rsidRDefault="002F4951" w:rsidP="002F4951">
            <w:pPr>
              <w:spacing w:after="0" w:line="240" w:lineRule="auto"/>
              <w:jc w:val="center"/>
              <w:rPr>
                <w:rFonts w:ascii="Arial" w:eastAsia="Times New Roman" w:hAnsi="Arial" w:cs="Arial"/>
                <w:sz w:val="27"/>
                <w:szCs w:val="27"/>
                <w:lang w:eastAsia="zh-CN"/>
              </w:rPr>
            </w:pPr>
            <w:r w:rsidRPr="002F4951">
              <w:rPr>
                <w:rFonts w:ascii="Arial" w:eastAsia="Times New Roman" w:hAnsi="Arial" w:cs="Arial"/>
                <w:sz w:val="27"/>
                <w:szCs w:val="27"/>
                <w:lang w:eastAsia="zh-CN"/>
              </w:rPr>
              <w:t>In effective</w:t>
            </w:r>
          </w:p>
        </w:tc>
      </w:tr>
    </w:tbl>
    <w:p w:rsidR="002F4951" w:rsidRPr="002F4951" w:rsidRDefault="002F4951" w:rsidP="002F4951">
      <w:pPr>
        <w:spacing w:after="0" w:line="240" w:lineRule="auto"/>
        <w:rPr>
          <w:rFonts w:ascii="Times New Roman" w:eastAsia="Times New Roman" w:hAnsi="Times New Roman" w:cs="Times New Roman"/>
          <w:sz w:val="24"/>
          <w:szCs w:val="24"/>
          <w:lang w:eastAsia="zh-CN"/>
        </w:rPr>
      </w:pPr>
      <w:r w:rsidRPr="002F4951">
        <w:rPr>
          <w:rFonts w:ascii="Times New Roman" w:eastAsia="Times New Roman" w:hAnsi="Times New Roman" w:cs="Times New Roman"/>
          <w:color w:val="000000"/>
          <w:sz w:val="27"/>
          <w:szCs w:val="27"/>
          <w:lang w:eastAsia="zh-CN"/>
        </w:rPr>
        <w:br/>
      </w:r>
    </w:p>
    <w:p w:rsidR="002F4951" w:rsidRPr="002F4951" w:rsidRDefault="002F4951" w:rsidP="002F4951">
      <w:pPr>
        <w:spacing w:before="100" w:beforeAutospacing="1" w:after="100" w:afterAutospacing="1" w:line="240" w:lineRule="auto"/>
        <w:rPr>
          <w:rFonts w:ascii="Times New Roman" w:eastAsia="Times New Roman" w:hAnsi="Times New Roman" w:cs="Times New Roman"/>
          <w:color w:val="000000"/>
          <w:sz w:val="27"/>
          <w:szCs w:val="27"/>
          <w:lang w:eastAsia="zh-CN"/>
        </w:rPr>
      </w:pPr>
      <w:r w:rsidRPr="002F4951">
        <w:rPr>
          <w:rFonts w:ascii="Times New Roman" w:eastAsia="Times New Roman" w:hAnsi="Times New Roman" w:cs="Times New Roman"/>
          <w:b/>
          <w:bCs/>
          <w:color w:val="000000"/>
          <w:sz w:val="27"/>
          <w:szCs w:val="27"/>
          <w:lang w:eastAsia="zh-CN"/>
        </w:rPr>
        <w:t xml:space="preserve">The wind force is expected to be moderate, since </w:t>
      </w:r>
      <w:proofErr w:type="spellStart"/>
      <w:r w:rsidRPr="002F4951">
        <w:rPr>
          <w:rFonts w:ascii="Times New Roman" w:eastAsia="Times New Roman" w:hAnsi="Times New Roman" w:cs="Times New Roman"/>
          <w:b/>
          <w:bCs/>
          <w:color w:val="000000"/>
          <w:sz w:val="27"/>
          <w:szCs w:val="27"/>
          <w:lang w:eastAsia="zh-CN"/>
        </w:rPr>
        <w:t>Winpa</w:t>
      </w:r>
      <w:proofErr w:type="spellEnd"/>
      <w:r w:rsidRPr="002F4951">
        <w:rPr>
          <w:rFonts w:ascii="Times New Roman" w:eastAsia="Times New Roman" w:hAnsi="Times New Roman" w:cs="Times New Roman"/>
          <w:b/>
          <w:bCs/>
          <w:color w:val="000000"/>
          <w:sz w:val="27"/>
          <w:szCs w:val="27"/>
          <w:lang w:eastAsia="zh-CN"/>
        </w:rPr>
        <w:t xml:space="preserve">, moving away from Macau, has made landfall over the </w:t>
      </w:r>
      <w:proofErr w:type="spellStart"/>
      <w:r w:rsidRPr="002F4951">
        <w:rPr>
          <w:rFonts w:ascii="Times New Roman" w:eastAsia="Times New Roman" w:hAnsi="Times New Roman" w:cs="Times New Roman"/>
          <w:b/>
          <w:bCs/>
          <w:color w:val="000000"/>
          <w:sz w:val="27"/>
          <w:szCs w:val="27"/>
          <w:lang w:eastAsia="zh-CN"/>
        </w:rPr>
        <w:t>Leizhou</w:t>
      </w:r>
      <w:proofErr w:type="spellEnd"/>
      <w:r w:rsidRPr="002F4951">
        <w:rPr>
          <w:rFonts w:ascii="Times New Roman" w:eastAsia="Times New Roman" w:hAnsi="Times New Roman" w:cs="Times New Roman"/>
          <w:b/>
          <w:bCs/>
          <w:color w:val="000000"/>
          <w:sz w:val="27"/>
          <w:szCs w:val="27"/>
          <w:lang w:eastAsia="zh-CN"/>
        </w:rPr>
        <w:t xml:space="preserve"> Peninsula. However, affected by the outer </w:t>
      </w:r>
      <w:proofErr w:type="spellStart"/>
      <w:r w:rsidRPr="002F4951">
        <w:rPr>
          <w:rFonts w:ascii="Times New Roman" w:eastAsia="Times New Roman" w:hAnsi="Times New Roman" w:cs="Times New Roman"/>
          <w:b/>
          <w:bCs/>
          <w:color w:val="000000"/>
          <w:sz w:val="27"/>
          <w:szCs w:val="27"/>
          <w:lang w:eastAsia="zh-CN"/>
        </w:rPr>
        <w:t>rainbands</w:t>
      </w:r>
      <w:proofErr w:type="spellEnd"/>
      <w:r w:rsidRPr="002F4951">
        <w:rPr>
          <w:rFonts w:ascii="Times New Roman" w:eastAsia="Times New Roman" w:hAnsi="Times New Roman" w:cs="Times New Roman"/>
          <w:b/>
          <w:bCs/>
          <w:color w:val="000000"/>
          <w:sz w:val="27"/>
          <w:szCs w:val="27"/>
          <w:lang w:eastAsia="zh-CN"/>
        </w:rPr>
        <w:t xml:space="preserve"> of </w:t>
      </w:r>
      <w:proofErr w:type="spellStart"/>
      <w:r w:rsidRPr="002F4951">
        <w:rPr>
          <w:rFonts w:ascii="Times New Roman" w:eastAsia="Times New Roman" w:hAnsi="Times New Roman" w:cs="Times New Roman"/>
          <w:b/>
          <w:bCs/>
          <w:color w:val="000000"/>
          <w:sz w:val="27"/>
          <w:szCs w:val="27"/>
          <w:lang w:eastAsia="zh-CN"/>
        </w:rPr>
        <w:t>Wipha</w:t>
      </w:r>
      <w:proofErr w:type="spellEnd"/>
      <w:r w:rsidRPr="002F4951">
        <w:rPr>
          <w:rFonts w:ascii="Times New Roman" w:eastAsia="Times New Roman" w:hAnsi="Times New Roman" w:cs="Times New Roman"/>
          <w:b/>
          <w:bCs/>
          <w:color w:val="000000"/>
          <w:sz w:val="27"/>
          <w:szCs w:val="27"/>
          <w:lang w:eastAsia="zh-CN"/>
        </w:rPr>
        <w:t>, there will be showers and thunderstorm. The winds over the bridges are expected to be strong and gusty.</w:t>
      </w:r>
    </w:p>
    <w:p w:rsidR="002F4951" w:rsidRPr="002F4951" w:rsidRDefault="002F4951" w:rsidP="002F4951">
      <w:pPr>
        <w:spacing w:before="100" w:beforeAutospacing="1" w:after="100" w:afterAutospacing="1" w:line="240" w:lineRule="auto"/>
        <w:rPr>
          <w:rFonts w:ascii="Times New Roman" w:eastAsia="Times New Roman" w:hAnsi="Times New Roman" w:cs="Times New Roman"/>
          <w:color w:val="000000"/>
          <w:sz w:val="27"/>
          <w:szCs w:val="27"/>
          <w:lang w:eastAsia="zh-CN"/>
        </w:rPr>
      </w:pPr>
      <w:r w:rsidRPr="002F4951">
        <w:rPr>
          <w:rFonts w:ascii="Times New Roman" w:eastAsia="Times New Roman" w:hAnsi="Times New Roman" w:cs="Times New Roman"/>
          <w:b/>
          <w:bCs/>
          <w:color w:val="000000"/>
          <w:sz w:val="27"/>
          <w:szCs w:val="27"/>
          <w:lang w:eastAsia="zh-CN"/>
        </w:rPr>
        <w:t>Flooding may occur at the Inner Harbor area between 7 a.m. and 1 p.m. on 2nd August. And the flooding, if occurs, is expected to be less than 0.5 meter high. From 3rd to 4th August, floods may also happen in the low lying areas due to astronomical tide.</w:t>
      </w:r>
    </w:p>
    <w:p w:rsidR="00D23BEC" w:rsidRDefault="002F4951" w:rsidP="002F4951">
      <w:r w:rsidRPr="002F4951">
        <w:rPr>
          <w:rFonts w:ascii="Times New Roman" w:eastAsia="Times New Roman" w:hAnsi="Times New Roman" w:cs="Times New Roman"/>
          <w:color w:val="000000"/>
          <w:sz w:val="27"/>
          <w:szCs w:val="27"/>
          <w:lang w:eastAsia="zh-CN"/>
        </w:rPr>
        <w:br/>
      </w:r>
      <w:r w:rsidRPr="002F4951">
        <w:rPr>
          <w:rFonts w:ascii="Times New Roman" w:eastAsia="Times New Roman" w:hAnsi="Times New Roman" w:cs="Times New Roman"/>
          <w:color w:val="000000"/>
          <w:sz w:val="27"/>
          <w:szCs w:val="27"/>
          <w:lang w:eastAsia="zh-CN"/>
        </w:rPr>
        <w:br/>
      </w:r>
      <w:r w:rsidRPr="002F4951">
        <w:rPr>
          <w:rFonts w:ascii="Times New Roman" w:eastAsia="Times New Roman" w:hAnsi="Times New Roman" w:cs="Times New Roman"/>
          <w:color w:val="000000"/>
          <w:sz w:val="27"/>
          <w:szCs w:val="27"/>
          <w:lang w:eastAsia="zh-CN"/>
        </w:rPr>
        <w:br/>
      </w:r>
      <w:r w:rsidRPr="002F4951">
        <w:rPr>
          <w:rFonts w:ascii="Times New Roman" w:eastAsia="Times New Roman" w:hAnsi="Times New Roman" w:cs="Times New Roman"/>
          <w:i/>
          <w:iCs/>
          <w:color w:val="000000"/>
          <w:sz w:val="27"/>
          <w:szCs w:val="27"/>
          <w:lang w:eastAsia="zh-CN"/>
        </w:rPr>
        <w:t>Remarks: The probabilities of issuing severe weather warning signals for the next one or two days are provided in the table. Public can learn the possibility of being affected by the tropical cyclone over the specific period of time in Macao so that necessary precautions can be well prepared earlier. Please keep notice of our latest information.</w:t>
      </w:r>
      <w:bookmarkStart w:id="0" w:name="_GoBack"/>
      <w:bookmarkEnd w:id="0"/>
    </w:p>
    <w:sectPr w:rsidR="00D23BE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51"/>
    <w:rsid w:val="002F4951"/>
    <w:rsid w:val="00D23B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3F45E-4170-4C03-9261-B80E034E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F4951"/>
    <w:pPr>
      <w:spacing w:before="100" w:beforeAutospacing="1" w:after="100" w:afterAutospacing="1" w:line="240" w:lineRule="auto"/>
      <w:outlineLvl w:val="1"/>
    </w:pPr>
    <w:rPr>
      <w:rFonts w:ascii="Times New Roman" w:eastAsia="Times New Roman" w:hAnsi="Times New Roman" w:cs="Times New Roman"/>
      <w:b/>
      <w:bCs/>
      <w:sz w:val="36"/>
      <w:szCs w:val="3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2F4951"/>
    <w:rPr>
      <w:rFonts w:ascii="Times New Roman" w:eastAsia="Times New Roman" w:hAnsi="Times New Roman" w:cs="Times New Roman"/>
      <w:b/>
      <w:bCs/>
      <w:sz w:val="36"/>
      <w:szCs w:val="36"/>
      <w:lang w:eastAsia="zh-CN"/>
    </w:rPr>
  </w:style>
  <w:style w:type="paragraph" w:styleId="Web">
    <w:name w:val="Normal (Web)"/>
    <w:basedOn w:val="a"/>
    <w:uiPriority w:val="99"/>
    <w:semiHidden/>
    <w:unhideWhenUsed/>
    <w:rsid w:val="002F495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7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FORECASTER COMMON USER ACCOUNT</dc:creator>
  <cp:keywords/>
  <dc:description/>
  <cp:lastModifiedBy>FORECASTER COMMON USER ACCOUNT</cp:lastModifiedBy>
  <cp:revision>1</cp:revision>
  <dcterms:created xsi:type="dcterms:W3CDTF">2019-08-01T21:00:00Z</dcterms:created>
  <dcterms:modified xsi:type="dcterms:W3CDTF">2019-08-01T21:00:00Z</dcterms:modified>
</cp:coreProperties>
</file>