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65" w:rsidRPr="0019728A" w:rsidRDefault="000B2C2A" w:rsidP="00863065">
      <w:pPr>
        <w:jc w:val="center"/>
        <w:rPr>
          <w:rFonts w:ascii="Arial" w:eastAsiaTheme="minorEastAsia" w:hAnsi="Arial" w:cs="Arial"/>
          <w:b/>
          <w:snapToGrid w:val="0"/>
          <w:spacing w:val="20"/>
          <w:kern w:val="0"/>
          <w:sz w:val="28"/>
          <w:szCs w:val="28"/>
          <w:lang w:val="pt-PT"/>
        </w:rPr>
      </w:pPr>
      <w:r w:rsidRPr="0019728A">
        <w:rPr>
          <w:rFonts w:ascii="Arial" w:eastAsiaTheme="minorEastAsia" w:hAnsi="Arial" w:cs="Arial"/>
          <w:b/>
          <w:snapToGrid w:val="0"/>
          <w:spacing w:val="20"/>
          <w:kern w:val="0"/>
          <w:sz w:val="28"/>
          <w:szCs w:val="28"/>
          <w:lang w:val="pt-PT"/>
        </w:rPr>
        <w:t xml:space="preserve">Governo envia carta à AL para </w:t>
      </w:r>
      <w:r w:rsidR="0019728A" w:rsidRPr="0019728A">
        <w:rPr>
          <w:rFonts w:ascii="Arial" w:eastAsiaTheme="minorEastAsia" w:hAnsi="Arial" w:cs="Arial"/>
          <w:b/>
          <w:snapToGrid w:val="0"/>
          <w:spacing w:val="20"/>
          <w:kern w:val="0"/>
          <w:sz w:val="28"/>
          <w:szCs w:val="28"/>
          <w:lang w:val="pt-PT"/>
        </w:rPr>
        <w:t>requerer</w:t>
      </w:r>
      <w:r w:rsidR="0019728A">
        <w:rPr>
          <w:rFonts w:ascii="Arial" w:eastAsiaTheme="minorEastAsia" w:hAnsi="Arial" w:cs="Arial"/>
          <w:b/>
          <w:snapToGrid w:val="0"/>
          <w:spacing w:val="20"/>
          <w:kern w:val="0"/>
          <w:sz w:val="28"/>
          <w:szCs w:val="28"/>
          <w:lang w:val="pt-PT"/>
        </w:rPr>
        <w:t xml:space="preserve"> eliminação das</w:t>
      </w:r>
      <w:r w:rsidRPr="0019728A">
        <w:rPr>
          <w:rFonts w:ascii="Arial" w:eastAsiaTheme="minorEastAsia" w:hAnsi="Arial" w:cs="Arial"/>
          <w:b/>
          <w:snapToGrid w:val="0"/>
          <w:spacing w:val="20"/>
          <w:kern w:val="0"/>
          <w:sz w:val="28"/>
          <w:szCs w:val="28"/>
          <w:lang w:val="pt-PT"/>
        </w:rPr>
        <w:t xml:space="preserve"> duas ordens de trabalho</w:t>
      </w:r>
    </w:p>
    <w:p w:rsidR="000B2C2A" w:rsidRDefault="000B2C2A" w:rsidP="00863065">
      <w:pPr>
        <w:jc w:val="center"/>
        <w:rPr>
          <w:rFonts w:eastAsiaTheme="minorEastAsia"/>
          <w:snapToGrid w:val="0"/>
          <w:spacing w:val="20"/>
          <w:kern w:val="0"/>
          <w:sz w:val="28"/>
          <w:szCs w:val="28"/>
          <w:lang w:val="pt-PT"/>
        </w:rPr>
      </w:pPr>
    </w:p>
    <w:p w:rsidR="000B2C2A" w:rsidRPr="00060C69" w:rsidRDefault="000B2C2A" w:rsidP="000B2C2A">
      <w:pPr>
        <w:jc w:val="center"/>
        <w:rPr>
          <w:rFonts w:ascii="Arial" w:eastAsia="SimSun" w:hAnsi="Arial" w:cs="Arial"/>
          <w:szCs w:val="24"/>
          <w:lang w:val="pt-PT"/>
        </w:rPr>
      </w:pPr>
      <w:r w:rsidRPr="00060C69">
        <w:rPr>
          <w:rFonts w:ascii="Arial" w:eastAsia="SimSun" w:hAnsi="Arial" w:cs="Arial"/>
          <w:szCs w:val="24"/>
          <w:lang w:val="pt-PT"/>
        </w:rPr>
        <w:t>Fonte: Gabinete do Porta-voz do Governo</w:t>
      </w:r>
    </w:p>
    <w:p w:rsidR="000B2C2A" w:rsidRPr="00060C69" w:rsidRDefault="000B2C2A" w:rsidP="000B2C2A">
      <w:pPr>
        <w:jc w:val="center"/>
        <w:rPr>
          <w:rFonts w:ascii="Arial" w:eastAsia="SimSun" w:hAnsi="Arial" w:cs="Arial"/>
          <w:b/>
          <w:szCs w:val="24"/>
          <w:lang w:val="pt-PT"/>
        </w:rPr>
      </w:pPr>
      <w:r>
        <w:rPr>
          <w:rFonts w:ascii="Arial" w:eastAsia="SimSun" w:hAnsi="Arial" w:cs="Arial"/>
          <w:szCs w:val="24"/>
          <w:lang w:val="pt-PT"/>
        </w:rPr>
        <w:t>5</w:t>
      </w:r>
      <w:r w:rsidRPr="00060C69">
        <w:rPr>
          <w:rFonts w:ascii="Arial" w:eastAsia="SimSun" w:hAnsi="Arial" w:cs="Arial"/>
          <w:szCs w:val="24"/>
          <w:lang w:val="pt-PT"/>
        </w:rPr>
        <w:t xml:space="preserve"> </w:t>
      </w:r>
      <w:proofErr w:type="gramStart"/>
      <w:r w:rsidRPr="00060C69">
        <w:rPr>
          <w:rFonts w:ascii="Arial" w:eastAsia="SimSun" w:hAnsi="Arial" w:cs="Arial"/>
          <w:szCs w:val="24"/>
          <w:lang w:val="pt-PT"/>
        </w:rPr>
        <w:t>de</w:t>
      </w:r>
      <w:proofErr w:type="gramEnd"/>
      <w:r w:rsidRPr="00060C69">
        <w:rPr>
          <w:rFonts w:ascii="Arial" w:eastAsia="SimSun" w:hAnsi="Arial" w:cs="Arial"/>
          <w:szCs w:val="24"/>
          <w:lang w:val="pt-PT"/>
        </w:rPr>
        <w:t xml:space="preserve"> </w:t>
      </w:r>
      <w:r>
        <w:rPr>
          <w:rFonts w:ascii="Arial" w:eastAsia="SimSun" w:hAnsi="Arial" w:cs="Arial"/>
          <w:szCs w:val="24"/>
          <w:lang w:val="pt-PT"/>
        </w:rPr>
        <w:t>Agosto</w:t>
      </w:r>
      <w:r w:rsidRPr="00060C69">
        <w:rPr>
          <w:rFonts w:ascii="Arial" w:eastAsia="SimSun" w:hAnsi="Arial" w:cs="Arial"/>
          <w:szCs w:val="24"/>
          <w:lang w:val="pt-PT"/>
        </w:rPr>
        <w:t xml:space="preserve"> de 2019</w:t>
      </w:r>
    </w:p>
    <w:p w:rsidR="00796B8F" w:rsidRDefault="00796B8F" w:rsidP="00863065">
      <w:pPr>
        <w:jc w:val="center"/>
        <w:rPr>
          <w:rFonts w:eastAsiaTheme="minorEastAsia"/>
          <w:snapToGrid w:val="0"/>
          <w:spacing w:val="20"/>
          <w:kern w:val="0"/>
          <w:sz w:val="28"/>
          <w:szCs w:val="28"/>
          <w:lang w:val="pt-PT"/>
        </w:rPr>
      </w:pPr>
    </w:p>
    <w:p w:rsidR="00950ACF" w:rsidRPr="00950ACF" w:rsidRDefault="00796B8F" w:rsidP="00950ACF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 Chefe do Executivo, Chui Sai </w:t>
      </w:r>
      <w:proofErr w:type="spellStart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On</w:t>
      </w:r>
      <w:proofErr w:type="spellEnd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indicou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hoje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(5</w:t>
      </w:r>
      <w:r w:rsidR="00082165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082165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de Agosto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)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que 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 </w:t>
      </w:r>
      <w:r w:rsidR="00B638AD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G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overno da Região Administrativa Especial de Macau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(RAEM) enviou uma carta à Assembleia L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egislativa (AL) </w:t>
      </w:r>
      <w:r w:rsidR="00E25C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</w:t>
      </w:r>
      <w:r w:rsidR="0019728A" w:rsidRPr="00B53FA1">
        <w:rPr>
          <w:color w:val="FF0000"/>
          <w:lang w:val="pt-PT"/>
        </w:rPr>
        <w:t xml:space="preserve"> </w:t>
      </w:r>
      <w:r w:rsidR="0019728A" w:rsidRPr="00E25C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requerer, de acordo com o Regimento da Assembleia Legislativa, a</w:t>
      </w:r>
      <w:r w:rsidR="002C6BCE" w:rsidRPr="00E25C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elimina</w:t>
      </w:r>
      <w:r w:rsidR="0019728A" w:rsidRPr="00E25C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ção</w:t>
      </w:r>
      <w:r w:rsidR="002C6BCE" w:rsidRPr="00E25C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19728A" w:rsidRPr="00E25C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das </w:t>
      </w:r>
      <w:r w:rsidR="00950ACF" w:rsidRPr="00E25C3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duas 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ordens de trabalhos, originalmente previstas para a debate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em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reunião plenária,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no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dia 7 de Agosto, incluindo a apresentação, discussão e votação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na generalidade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="00950ACF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da proposta de lei intitulada “Alteração do Orçamento de 2019” e da proposta de lei intitulada “Alteração à Lei n.º 11/2009 – Lei de combate à criminalidade informática”.</w:t>
      </w:r>
    </w:p>
    <w:p w:rsidR="00796B8F" w:rsidRPr="00950ACF" w:rsidRDefault="00796B8F" w:rsidP="00950ACF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950ACF" w:rsidRDefault="00950ACF" w:rsidP="00950ACF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Gabinete do Porta-voz do Governo realizou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esta tarde,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na Sede do Governo, uma conferência de imprensa sobre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matéria, com a presença do Chefe do Executivo, Chui Sai </w:t>
      </w:r>
      <w:proofErr w:type="spellStart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On</w:t>
      </w:r>
      <w:proofErr w:type="spellEnd"/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da secretária para a Admini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stração e Justiça, S</w:t>
      </w:r>
      <w:r w:rsidR="003971A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ó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nia </w:t>
      </w:r>
      <w:proofErr w:type="spellStart"/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Chan</w:t>
      </w:r>
      <w:proofErr w:type="spellEnd"/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do secretário para a Economia e Finanças, Lionel </w:t>
      </w:r>
      <w:proofErr w:type="spellStart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Leong</w:t>
      </w:r>
      <w:proofErr w:type="spellEnd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do porta-voz do governo, Victor </w:t>
      </w:r>
      <w:proofErr w:type="spellStart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Chan</w:t>
      </w:r>
      <w:proofErr w:type="spellEnd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 do presidente do Conselho de Administração da Autoridade Monetária de Macau, </w:t>
      </w:r>
      <w:proofErr w:type="spellStart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Chan</w:t>
      </w:r>
      <w:proofErr w:type="spellEnd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Sau</w:t>
      </w:r>
      <w:proofErr w:type="spellEnd"/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San.</w:t>
      </w:r>
    </w:p>
    <w:p w:rsidR="00950ACF" w:rsidRDefault="00950ACF" w:rsidP="00950ACF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950ACF" w:rsidRPr="00950ACF" w:rsidRDefault="00950ACF" w:rsidP="00950ACF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Quanto à proposta de lei “Alteração do Orçamento de 2019”,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Chui Sai </w:t>
      </w:r>
      <w:proofErr w:type="spellStart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On</w:t>
      </w:r>
      <w:proofErr w:type="spellEnd"/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disse que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devido à existência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de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diversas opiniões sobre a criação da Sociedade Gestora do Fundo para o Desenvolvimento e Investimento da Região Administrativa Especial de Macau</w:t>
      </w:r>
      <w:r w:rsidRP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S.A.</w:t>
      </w:r>
      <w:r w:rsidR="002C6BCE" w:rsidRP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para o</w:t>
      </w:r>
      <w:r w:rsidRP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qual o governo </w:t>
      </w:r>
      <w:r w:rsidR="002C6BCE" w:rsidRP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pretende</w:t>
      </w:r>
      <w:r w:rsidRP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mobilizar 60 mil milhões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de patacas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da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reserva extraordinária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incluída na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reserva financeira,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na qualidade de</w:t>
      </w:r>
      <w:r w:rsidR="002C6BCE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governo responsável, antes da discussão na generalidade da AL,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devem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ser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prestados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mais esclarecimentos e consultas públicas, de modo a dissipar as dúvidas existentes.</w:t>
      </w:r>
    </w:p>
    <w:p w:rsidR="00796B8F" w:rsidRPr="00950ACF" w:rsidRDefault="00796B8F" w:rsidP="00950ACF">
      <w:pPr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8E6A1B" w:rsidRDefault="00950ACF" w:rsidP="008E6A1B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Relativamente à proposta de lei “Alteração à Lei n.º 11/2009 – Lei de combate à criminalidade informática”, </w:t>
      </w:r>
      <w:r w:rsidR="008E6A1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Chefe do Executivo revelou que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="002C6BCE" w:rsidRPr="009E7003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na altura da sua discussão</w:t>
      </w:r>
      <w:r w:rsidR="008E6A1B" w:rsidRPr="009E7003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="008E6A1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 secretário para a Segurança,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na qualidade de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responsável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pela referida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proposta d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lei,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estará ausente de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Macau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 não poderá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assistir à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respectiva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reunião plenária,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 disse considerar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necessária a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presença do mesmo na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apresentação e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esclarecimento do objectivo legislativo </w:t>
      </w:r>
      <w:r w:rsidR="002C6BCE"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aos deputados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. </w:t>
      </w:r>
    </w:p>
    <w:p w:rsidR="008E6A1B" w:rsidRDefault="008E6A1B" w:rsidP="008E6A1B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1F034B" w:rsidRDefault="008E6A1B" w:rsidP="008E6A1B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 O Chefe do Executivo, ao ser</w:t>
      </w:r>
      <w:r w:rsidRPr="008E6A1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questionado pela comunicação social, referiu que os serviços da tutela d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conomia e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f</w:t>
      </w:r>
      <w:r w:rsidRPr="00950ACF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inanças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têm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efectuado um enorme trabalho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 estudo de comparação sobre a organização e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os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planos da </w:t>
      </w:r>
      <w:r w:rsidRPr="008E6A1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Sociedade Gestora do Fundo para o Desenvolvimento e Investimento da Região Administrativa Especial de Macau, S.A.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a fim de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apresentar</w:t>
      </w:r>
      <w:r w:rsidR="001F034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um </w:t>
      </w:r>
      <w:r w:rsidR="001F034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fundamento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sólido </w:t>
      </w:r>
      <w:r w:rsidR="001F034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à construção deste sistema. </w:t>
      </w:r>
    </w:p>
    <w:p w:rsidR="001F034B" w:rsidRDefault="001F034B" w:rsidP="008E6A1B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8E6A1B" w:rsidRPr="00A85820" w:rsidRDefault="001F034B" w:rsidP="008E6A1B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</w:pP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 mesmo responsável destacou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ainda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 importância das opiniões da população,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 fez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voto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que tanto a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consulta pública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como a divulgação de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informações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especializadas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possam ser aproveitadas 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para permitir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os cidadãos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conhecerem melhor</w:t>
      </w:r>
      <w:r w:rsidR="002C6BCE" w:rsidRP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 sua criação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de forma mais aberta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1F034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imparcial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. </w:t>
      </w:r>
      <w:r w:rsidR="00B30EA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Garantiu ainda</w:t>
      </w:r>
      <w:r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que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após</w:t>
      </w:r>
      <w:r w:rsidR="00B30EA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cessar </w:t>
      </w:r>
      <w:r w:rsidR="003E4256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das </w:t>
      </w:r>
      <w:r w:rsidR="00B30EA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funções do cargo do Chefe do Executivo, não </w:t>
      </w:r>
      <w:r w:rsidR="002C6BCE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irá </w:t>
      </w:r>
      <w:r w:rsidR="00B30EA0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assumir </w:t>
      </w:r>
      <w:r w:rsidR="00B30EA0"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 xml:space="preserve">qualquer cargo </w:t>
      </w:r>
      <w:r w:rsidR="002C6BCE"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>nesta</w:t>
      </w:r>
      <w:r w:rsidR="00B30EA0"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 xml:space="preserve"> Sociedade.</w:t>
      </w:r>
    </w:p>
    <w:p w:rsidR="00B30EA0" w:rsidRPr="00A85820" w:rsidRDefault="00B30EA0" w:rsidP="008E6A1B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</w:pPr>
    </w:p>
    <w:p w:rsidR="00684B61" w:rsidRPr="006A63FA" w:rsidRDefault="00684B61" w:rsidP="00684B61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 xml:space="preserve">O secretário para a Economia e Finanças, Lionel </w:t>
      </w:r>
      <w:proofErr w:type="spellStart"/>
      <w:r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>Leong</w:t>
      </w:r>
      <w:proofErr w:type="spellEnd"/>
      <w:r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>, disse que, face ao aumento da reserva</w:t>
      </w:r>
      <w:r w:rsidR="00096E79"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 xml:space="preserve"> financeira do Governo da RAEM, foram apresentados vários apelas </w:t>
      </w:r>
      <w:r w:rsidR="00096E79"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lastRenderedPageBreak/>
        <w:t>da</w:t>
      </w:r>
      <w:r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 xml:space="preserve"> </w:t>
      </w:r>
      <w:r w:rsidR="00096E79"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 xml:space="preserve">parte da </w:t>
      </w:r>
      <w:r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>sociedade, nomeadamente</w:t>
      </w:r>
      <w:r w:rsidR="00096E79"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>,</w:t>
      </w:r>
      <w:r w:rsidRPr="00A85820">
        <w:rPr>
          <w:rFonts w:ascii="Arial" w:eastAsiaTheme="minorEastAsia" w:hAnsi="Arial" w:cs="Arial"/>
          <w:snapToGrid w:val="0"/>
          <w:color w:val="000000" w:themeColor="text1"/>
          <w:spacing w:val="20"/>
          <w:kern w:val="0"/>
          <w:sz w:val="28"/>
          <w:szCs w:val="28"/>
          <w:lang w:val="pt-PT"/>
        </w:rPr>
        <w:t xml:space="preserve"> contribuir para o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desenvolvimento estável 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 a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diversificação adequada da economia, elevar a eficiência da gestão e utilização da reserva financeira, bem como, aumentar o retorno de investimento do recurso público.</w:t>
      </w:r>
    </w:p>
    <w:p w:rsidR="00684B61" w:rsidRPr="006A63FA" w:rsidRDefault="00684B61" w:rsidP="00684B61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684B61" w:rsidRPr="006A63FA" w:rsidRDefault="00684B61" w:rsidP="00684B61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 mesmo responsável 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re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lembrou que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a Conclusão do Fundo Monetário Internacional sobre a “Consulta ao abrigo do Artigo IV” à Região Administrativa Especial de Macau (RAEM)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em 2014, considerou 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criação d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um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fundo público quase-soberano pode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rá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3971A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procurar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um retorno mais alto de investimento, através de uma alocação mais diversificada de activos. Acrescentou que o Plano Quinquenal da RAEM também 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revela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claramente a implementação 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criação </w:t>
      </w:r>
      <w:bookmarkStart w:id="0" w:name="_GoBack"/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</w:t>
      </w:r>
      <w:r w:rsidR="00663159">
        <w:rPr>
          <w:rFonts w:ascii="Arial" w:eastAsiaTheme="minorEastAsia" w:hAnsi="Arial" w:cs="Arial" w:hint="eastAsia"/>
          <w:snapToGrid w:val="0"/>
          <w:spacing w:val="20"/>
          <w:kern w:val="0"/>
          <w:sz w:val="28"/>
          <w:szCs w:val="28"/>
          <w:lang w:val="pt-PT"/>
        </w:rPr>
        <w:t>o</w:t>
      </w:r>
      <w:r w:rsidR="00663159" w:rsidRPr="00663159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663159" w:rsidRPr="008E6A1B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Fundo para o Desenvolvimento e Investimento</w:t>
      </w:r>
      <w:bookmarkEnd w:id="0"/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em 2019, 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sobre o qual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foram </w:t>
      </w:r>
      <w:r w:rsidR="00096E79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prestados esclarecimentos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várias vezes na AL.</w:t>
      </w:r>
    </w:p>
    <w:p w:rsidR="00684B61" w:rsidRPr="006A63FA" w:rsidRDefault="00684B61" w:rsidP="00684B61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684B61" w:rsidRPr="006A63FA" w:rsidRDefault="00096E79" w:rsidP="00684B61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De igual modo</w:t>
      </w:r>
      <w:r w:rsidR="00684B61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garantiu que o modelo do futuro fundo quase-soberano irá seguir os critérios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reconhecimento</w:t>
      </w:r>
      <w:r w:rsidR="00684B61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internaciona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l</w:t>
      </w:r>
      <w:r w:rsidR="00684B61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, ou seja, os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“</w:t>
      </w:r>
      <w:r w:rsidR="00582232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Princípios de Santiago”</w:t>
      </w:r>
      <w:r w:rsidR="006E4AAD" w:rsidRPr="006A63FA">
        <w:rPr>
          <w:rFonts w:ascii="Hind" w:hAnsi="Hind"/>
          <w:shd w:val="clear" w:color="auto" w:fill="F9F9F9"/>
          <w:lang w:val="pt-PT"/>
        </w:rPr>
        <w:t xml:space="preserve">, </w:t>
      </w:r>
      <w:r w:rsidR="00684B61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além disso, os cargos principais desta entidade serão assumidos p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or</w:t>
      </w:r>
      <w:r w:rsidR="00684B61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quadros qualificados,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684B61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através do recrutamento público internacional. </w:t>
      </w:r>
    </w:p>
    <w:p w:rsidR="00B30EA0" w:rsidRPr="006A63FA" w:rsidRDefault="00B30EA0" w:rsidP="008E6A1B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</w:p>
    <w:p w:rsidR="00872E88" w:rsidRPr="006A63FA" w:rsidRDefault="00872E88" w:rsidP="00582232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O mesmo secretário disse ainda que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para permitir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auscultaras opiniões da sociedade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de forma mais vasta,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será </w:t>
      </w:r>
      <w:r w:rsidR="00582232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importante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realizar a</w:t>
      </w:r>
      <w:r w:rsidR="00582232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respectiva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consulta pública,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afirmou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582232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ser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provável que este trabalho não seja articulado à Alteração do Orçamento de 2019. Porém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referiu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</w:t>
      </w:r>
      <w:r w:rsidR="00582232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necessário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de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proceder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com o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trabalho d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criação deste fundo, </w:t>
      </w:r>
      <w:r w:rsidR="00582232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segundo o qual,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serve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para construir</w:t>
      </w:r>
      <w:r w:rsidR="00582232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um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sistema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lastRenderedPageBreak/>
        <w:t>que garanta a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estabilidade e prosperidade do território.</w:t>
      </w:r>
    </w:p>
    <w:p w:rsidR="00872E88" w:rsidRPr="006A63FA" w:rsidRDefault="00582232" w:rsidP="00872E88">
      <w:pPr>
        <w:snapToGrid w:val="0"/>
        <w:spacing w:afterLines="50" w:after="180" w:line="300" w:lineRule="auto"/>
        <w:ind w:firstLineChars="166" w:firstLine="531"/>
        <w:jc w:val="both"/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</w:pP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No final, o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presidente do Conselho de Administração da Autoridade Monetária de Macau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(AMCM), </w:t>
      </w:r>
      <w:proofErr w:type="spellStart"/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Chan</w:t>
      </w:r>
      <w:proofErr w:type="spellEnd"/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proofErr w:type="spellStart"/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Sau</w:t>
      </w:r>
      <w:proofErr w:type="spellEnd"/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San, referiu que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tanto a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AMCM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como a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Direcção dos Serviços de Finanças e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a 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Direcção dos Serviços de Assuntos de Justiça, criaram um grupo de acompanhamento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 pesquisa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 que tem consultado e analisado vários relatórios d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organizações internacionais,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assim como, o funcionamento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rea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l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de mais de cem fundos soberanos. Acrescentou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que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a ideia deste fundo foi debatida várias vezes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no Conselho Executivo, planeando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integrar 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os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“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Princípios de Santiago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”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no respectivo regulamento administrativo, com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um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objectivo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,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para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assegurar uma </w:t>
      </w:r>
      <w:r w:rsidR="009E7003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>elevada</w:t>
      </w:r>
      <w:r w:rsidR="00872E88" w:rsidRPr="006A63FA">
        <w:rPr>
          <w:rFonts w:ascii="Arial" w:eastAsiaTheme="minorEastAsia" w:hAnsi="Arial" w:cs="Arial"/>
          <w:snapToGrid w:val="0"/>
          <w:spacing w:val="20"/>
          <w:kern w:val="0"/>
          <w:sz w:val="28"/>
          <w:szCs w:val="28"/>
          <w:lang w:val="pt-PT"/>
        </w:rPr>
        <w:t xml:space="preserve"> transparência.</w:t>
      </w:r>
    </w:p>
    <w:p w:rsidR="00CD4DF3" w:rsidRPr="00872E88" w:rsidRDefault="00CD4DF3">
      <w:pPr>
        <w:rPr>
          <w:lang w:val="pt-PT"/>
        </w:rPr>
      </w:pPr>
    </w:p>
    <w:sectPr w:rsidR="00CD4DF3" w:rsidRPr="00872E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61" w:rsidRDefault="00684B61" w:rsidP="00684B61">
      <w:r>
        <w:separator/>
      </w:r>
    </w:p>
  </w:endnote>
  <w:endnote w:type="continuationSeparator" w:id="0">
    <w:p w:rsidR="00684B61" w:rsidRDefault="00684B61" w:rsidP="0068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61" w:rsidRDefault="00684B61" w:rsidP="00684B61">
      <w:r>
        <w:separator/>
      </w:r>
    </w:p>
  </w:footnote>
  <w:footnote w:type="continuationSeparator" w:id="0">
    <w:p w:rsidR="00684B61" w:rsidRDefault="00684B61" w:rsidP="0068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9C3"/>
    <w:multiLevelType w:val="hybridMultilevel"/>
    <w:tmpl w:val="4C441CAA"/>
    <w:lvl w:ilvl="0" w:tplc="0409000B">
      <w:start w:val="1"/>
      <w:numFmt w:val="bullet"/>
      <w:lvlText w:val=""/>
      <w:lvlJc w:val="left"/>
      <w:pPr>
        <w:ind w:left="104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>
    <w:nsid w:val="7A100D31"/>
    <w:multiLevelType w:val="hybridMultilevel"/>
    <w:tmpl w:val="92C4D6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65"/>
    <w:rsid w:val="00082165"/>
    <w:rsid w:val="00096E79"/>
    <w:rsid w:val="000B2C2A"/>
    <w:rsid w:val="0010595D"/>
    <w:rsid w:val="00114CB0"/>
    <w:rsid w:val="00123106"/>
    <w:rsid w:val="001373E1"/>
    <w:rsid w:val="0019728A"/>
    <w:rsid w:val="001B6445"/>
    <w:rsid w:val="001F034B"/>
    <w:rsid w:val="002C6BCE"/>
    <w:rsid w:val="003971AB"/>
    <w:rsid w:val="003E4256"/>
    <w:rsid w:val="00582232"/>
    <w:rsid w:val="00663159"/>
    <w:rsid w:val="00684B61"/>
    <w:rsid w:val="006A63FA"/>
    <w:rsid w:val="006E4AAD"/>
    <w:rsid w:val="00796B8F"/>
    <w:rsid w:val="00863065"/>
    <w:rsid w:val="00872E88"/>
    <w:rsid w:val="008A027F"/>
    <w:rsid w:val="008E6A1B"/>
    <w:rsid w:val="00950ACF"/>
    <w:rsid w:val="009E7003"/>
    <w:rsid w:val="00A11A4F"/>
    <w:rsid w:val="00A85820"/>
    <w:rsid w:val="00B30EA0"/>
    <w:rsid w:val="00B53FA1"/>
    <w:rsid w:val="00B638AD"/>
    <w:rsid w:val="00CD4DF3"/>
    <w:rsid w:val="00E25C3E"/>
    <w:rsid w:val="00E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4B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84B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4B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84B6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4B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84B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4B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84B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Wai 黃威</dc:creator>
  <cp:lastModifiedBy>Wong Wai 黃威</cp:lastModifiedBy>
  <cp:revision>19</cp:revision>
  <dcterms:created xsi:type="dcterms:W3CDTF">2019-08-05T13:47:00Z</dcterms:created>
  <dcterms:modified xsi:type="dcterms:W3CDTF">2019-08-06T02:58:00Z</dcterms:modified>
</cp:coreProperties>
</file>