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6D" w:rsidRPr="008B64FC" w:rsidRDefault="001B5B6D" w:rsidP="001B5B6D">
      <w:pPr>
        <w:jc w:val="center"/>
        <w:rPr>
          <w:rFonts w:cs="Arial"/>
          <w:b/>
          <w:bCs/>
          <w:color w:val="333333"/>
          <w:szCs w:val="36"/>
          <w:shd w:val="clear" w:color="auto" w:fill="FFFFFF"/>
          <w:lang w:val="pt-PT"/>
        </w:rPr>
      </w:pPr>
      <w:r w:rsidRPr="008B64FC">
        <w:rPr>
          <w:rFonts w:cs="Arial"/>
          <w:b/>
          <w:bCs/>
          <w:color w:val="333333"/>
          <w:szCs w:val="36"/>
          <w:shd w:val="clear" w:color="auto" w:fill="FFFFFF"/>
          <w:lang w:val="pt-PT"/>
        </w:rPr>
        <w:t>Acto público de abertura de propostas do Concurso Público para a Obra de Reordenamento de Drenagem de Águas e Estrada adjacente à Rua da Doca Seca </w:t>
      </w:r>
    </w:p>
    <w:p w:rsidR="001B5B6D" w:rsidRPr="008B64FC" w:rsidRDefault="001B5B6D" w:rsidP="001B5B6D">
      <w:pPr>
        <w:jc w:val="center"/>
        <w:rPr>
          <w:rFonts w:cs="Arial"/>
          <w:b/>
          <w:bCs/>
          <w:color w:val="333333"/>
          <w:szCs w:val="36"/>
          <w:shd w:val="clear" w:color="auto" w:fill="FFFFFF"/>
          <w:lang w:val="pt-PT"/>
        </w:rPr>
      </w:pPr>
      <w:r w:rsidRPr="008B64FC">
        <w:rPr>
          <w:rFonts w:cs="Arial"/>
          <w:b/>
          <w:bCs/>
          <w:color w:val="333333"/>
          <w:szCs w:val="36"/>
          <w:shd w:val="clear" w:color="auto" w:fill="FFFFFF"/>
          <w:lang w:val="pt-PT"/>
        </w:rPr>
        <w:t>Fonte: DSSOPT</w:t>
      </w:r>
    </w:p>
    <w:p w:rsidR="001B5B6D" w:rsidRPr="008B64FC" w:rsidRDefault="001B5B6D" w:rsidP="001B5B6D">
      <w:pPr>
        <w:jc w:val="center"/>
        <w:rPr>
          <w:rFonts w:cs="Arial"/>
          <w:b/>
          <w:bCs/>
          <w:color w:val="333333"/>
          <w:szCs w:val="36"/>
          <w:shd w:val="clear" w:color="auto" w:fill="FFFFFF"/>
          <w:lang w:val="pt-PT"/>
        </w:rPr>
      </w:pPr>
      <w:r w:rsidRPr="008B64FC">
        <w:rPr>
          <w:rFonts w:cs="Arial"/>
          <w:b/>
          <w:bCs/>
          <w:color w:val="333333"/>
          <w:szCs w:val="36"/>
          <w:shd w:val="clear" w:color="auto" w:fill="FFFFFF"/>
          <w:lang w:val="pt-PT"/>
        </w:rPr>
        <w:t>Data: 25.10.2019</w:t>
      </w:r>
    </w:p>
    <w:p w:rsidR="001B5B6D" w:rsidRPr="008B64FC" w:rsidRDefault="001B5B6D" w:rsidP="001B5B6D">
      <w:pPr>
        <w:jc w:val="center"/>
        <w:rPr>
          <w:rFonts w:cs="Arial"/>
          <w:b/>
          <w:bCs/>
          <w:color w:val="333333"/>
          <w:szCs w:val="36"/>
          <w:shd w:val="clear" w:color="auto" w:fill="FFFFFF"/>
          <w:lang w:val="pt-PT"/>
        </w:rPr>
      </w:pPr>
    </w:p>
    <w:p w:rsidR="001B5B6D" w:rsidRPr="008B64FC" w:rsidRDefault="001B5B6D" w:rsidP="001B5B6D">
      <w:pPr>
        <w:jc w:val="center"/>
        <w:rPr>
          <w:rFonts w:cs="Arial"/>
          <w:b/>
          <w:bCs/>
          <w:color w:val="333333"/>
          <w:szCs w:val="36"/>
          <w:shd w:val="clear" w:color="auto" w:fill="FFFFFF"/>
          <w:lang w:val="pt-PT"/>
        </w:rPr>
      </w:pPr>
    </w:p>
    <w:p w:rsidR="001B5B6D" w:rsidRPr="000D409B" w:rsidRDefault="001B5B6D" w:rsidP="001B5B6D">
      <w:pPr>
        <w:spacing w:line="360" w:lineRule="auto"/>
        <w:ind w:firstLine="567"/>
        <w:jc w:val="both"/>
        <w:rPr>
          <w:rFonts w:cs="Arial"/>
          <w:bCs/>
          <w:szCs w:val="36"/>
          <w:shd w:val="clear" w:color="auto" w:fill="FFFFFF"/>
          <w:lang w:val="pt-PT"/>
        </w:rPr>
      </w:pPr>
      <w:r w:rsidRPr="000D409B">
        <w:rPr>
          <w:rFonts w:cs="Arial"/>
          <w:bCs/>
          <w:szCs w:val="36"/>
          <w:shd w:val="clear" w:color="auto" w:fill="FFFFFF"/>
          <w:lang w:val="pt-PT"/>
        </w:rPr>
        <w:t>O acto público de abertura das propostas do concurso público para a “Obra</w:t>
      </w:r>
      <w:r w:rsidRPr="000D409B">
        <w:rPr>
          <w:lang w:val="pt-PT"/>
        </w:rPr>
        <w:t xml:space="preserve"> </w:t>
      </w:r>
      <w:r w:rsidRPr="000D409B">
        <w:rPr>
          <w:rFonts w:cs="Arial"/>
          <w:bCs/>
          <w:szCs w:val="36"/>
          <w:shd w:val="clear" w:color="auto" w:fill="FFFFFF"/>
          <w:lang w:val="pt-PT"/>
        </w:rPr>
        <w:t xml:space="preserve">de Reordenamento de Drenagem de Águas e Estrada adjacente à Rua da Doca Seca” realizou-se hoje (25 de Outubro). </w:t>
      </w:r>
      <w:r w:rsidRPr="00E304EF">
        <w:rPr>
          <w:rFonts w:cs="Arial"/>
          <w:bCs/>
          <w:szCs w:val="36"/>
          <w:shd w:val="clear" w:color="auto" w:fill="FFFFFF"/>
          <w:lang w:val="pt-PT"/>
        </w:rPr>
        <w:t xml:space="preserve">A DSSOPT </w:t>
      </w:r>
      <w:r w:rsidRPr="00E304EF">
        <w:rPr>
          <w:lang w:val="pt-PT"/>
        </w:rPr>
        <w:t xml:space="preserve">recebeu um total de 11 propostas, uma das quais não foi </w:t>
      </w:r>
      <w:r>
        <w:rPr>
          <w:lang w:val="pt-PT"/>
        </w:rPr>
        <w:t>admitida</w:t>
      </w:r>
      <w:r w:rsidRPr="00E304EF">
        <w:rPr>
          <w:lang w:val="pt-PT"/>
        </w:rPr>
        <w:t xml:space="preserve"> por falta de documentos, cujos preços variam entre as MOP$ 4 52</w:t>
      </w:r>
      <w:r>
        <w:rPr>
          <w:rFonts w:hint="eastAsia"/>
          <w:lang w:val="pt-PT"/>
        </w:rPr>
        <w:t>8</w:t>
      </w:r>
      <w:r w:rsidRPr="00E304EF">
        <w:rPr>
          <w:lang w:val="pt-PT"/>
        </w:rPr>
        <w:t xml:space="preserve"> 000,00 e as MOP$6 600 000,00.</w:t>
      </w:r>
      <w:r w:rsidRPr="000D409B">
        <w:rPr>
          <w:lang w:val="pt-PT"/>
        </w:rPr>
        <w:t xml:space="preserve"> A obra tem como objectivo responder às necessidades do desenvolvimento urbano e reforçar a capacidade de escoamento da rede de drenagem da zona em causa.  </w:t>
      </w:r>
      <w:r w:rsidRPr="000D409B">
        <w:rPr>
          <w:rFonts w:cs="Arial"/>
          <w:bCs/>
          <w:szCs w:val="36"/>
          <w:shd w:val="clear" w:color="auto" w:fill="FFFFFF"/>
          <w:lang w:val="pt-PT"/>
        </w:rPr>
        <w:t xml:space="preserve">  </w:t>
      </w:r>
    </w:p>
    <w:p w:rsidR="001B5B6D" w:rsidRPr="008B64FC" w:rsidRDefault="001B5B6D" w:rsidP="001B5B6D">
      <w:pPr>
        <w:spacing w:line="360" w:lineRule="auto"/>
        <w:ind w:firstLine="567"/>
        <w:jc w:val="both"/>
        <w:rPr>
          <w:rFonts w:cs="Arial"/>
          <w:bCs/>
          <w:color w:val="333333"/>
          <w:szCs w:val="36"/>
          <w:shd w:val="clear" w:color="auto" w:fill="FFFFFF"/>
          <w:lang w:val="pt-PT"/>
        </w:rPr>
      </w:pPr>
    </w:p>
    <w:p w:rsidR="001B5B6D" w:rsidRPr="008D223E" w:rsidRDefault="001B5B6D" w:rsidP="001B5B6D">
      <w:pPr>
        <w:spacing w:line="360" w:lineRule="auto"/>
        <w:ind w:firstLine="567"/>
        <w:jc w:val="both"/>
        <w:rPr>
          <w:rFonts w:cs="Arial"/>
          <w:bCs/>
          <w:szCs w:val="36"/>
          <w:shd w:val="clear" w:color="auto" w:fill="FFFFFF"/>
          <w:lang w:val="pt-PT"/>
        </w:rPr>
      </w:pPr>
      <w:r w:rsidRPr="008D223E">
        <w:rPr>
          <w:rFonts w:cs="Arial"/>
          <w:bCs/>
          <w:szCs w:val="36"/>
          <w:shd w:val="clear" w:color="auto" w:fill="FFFFFF"/>
          <w:lang w:val="pt-PT"/>
        </w:rPr>
        <w:t xml:space="preserve">Os arruamentos e as instalações das zonas envolventes da Rua da Doca Seca e da </w:t>
      </w:r>
      <w:proofErr w:type="spellStart"/>
      <w:r w:rsidRPr="008D223E">
        <w:rPr>
          <w:rFonts w:cs="Arial"/>
          <w:bCs/>
          <w:szCs w:val="36"/>
          <w:shd w:val="clear" w:color="auto" w:fill="FFFFFF"/>
          <w:lang w:val="pt-PT"/>
        </w:rPr>
        <w:t>Fai</w:t>
      </w:r>
      <w:proofErr w:type="spellEnd"/>
      <w:r w:rsidRPr="008D223E">
        <w:rPr>
          <w:rFonts w:cs="Arial"/>
          <w:bCs/>
          <w:szCs w:val="36"/>
          <w:shd w:val="clear" w:color="auto" w:fill="FFFFFF"/>
          <w:lang w:val="pt-PT"/>
        </w:rPr>
        <w:t xml:space="preserve"> Chi </w:t>
      </w:r>
      <w:proofErr w:type="spellStart"/>
      <w:r w:rsidRPr="008D223E">
        <w:rPr>
          <w:rFonts w:cs="Arial"/>
          <w:bCs/>
          <w:szCs w:val="36"/>
          <w:shd w:val="clear" w:color="auto" w:fill="FFFFFF"/>
          <w:lang w:val="pt-PT"/>
        </w:rPr>
        <w:t>Kei</w:t>
      </w:r>
      <w:proofErr w:type="spellEnd"/>
      <w:r w:rsidRPr="008D223E">
        <w:rPr>
          <w:rFonts w:cs="Arial"/>
          <w:bCs/>
          <w:szCs w:val="36"/>
          <w:shd w:val="clear" w:color="auto" w:fill="FFFFFF"/>
          <w:lang w:val="pt-PT"/>
        </w:rPr>
        <w:t xml:space="preserve"> encontram-se deteriorados pelo tempo, deste modo, há necessidade, de proceder ao seu reordenamento e reparação. Assim, em articulação com as necessidades de desenvolvimento urbano, a DSSOPT realizou um novo plano de reordenamento da rede de drenagem e ordenamento viário da zona, no sentido de reforçar a capacidade de escoamento da drenagem e melhorar os respectivos arruamentos. </w:t>
      </w:r>
    </w:p>
    <w:p w:rsidR="001B5B6D" w:rsidRPr="008D223E" w:rsidRDefault="001B5B6D" w:rsidP="001B5B6D">
      <w:pPr>
        <w:spacing w:line="360" w:lineRule="auto"/>
        <w:ind w:firstLine="567"/>
        <w:jc w:val="both"/>
        <w:rPr>
          <w:rFonts w:cs="Arial"/>
          <w:bCs/>
          <w:szCs w:val="36"/>
          <w:shd w:val="clear" w:color="auto" w:fill="FFFFFF"/>
          <w:lang w:val="pt-PT"/>
        </w:rPr>
      </w:pPr>
    </w:p>
    <w:p w:rsidR="001B5B6D" w:rsidRPr="008D223E" w:rsidRDefault="001B5B6D" w:rsidP="001B5B6D">
      <w:pPr>
        <w:spacing w:line="360" w:lineRule="auto"/>
        <w:ind w:firstLine="567"/>
        <w:jc w:val="both"/>
        <w:rPr>
          <w:rFonts w:cs="Arial"/>
          <w:bCs/>
          <w:szCs w:val="36"/>
          <w:shd w:val="clear" w:color="auto" w:fill="FFFFFF"/>
          <w:lang w:val="pt-PT"/>
        </w:rPr>
      </w:pPr>
      <w:r w:rsidRPr="008D223E">
        <w:rPr>
          <w:rFonts w:cs="Arial"/>
          <w:bCs/>
          <w:szCs w:val="36"/>
          <w:shd w:val="clear" w:color="auto" w:fill="FFFFFF"/>
          <w:lang w:val="pt-PT"/>
        </w:rPr>
        <w:t xml:space="preserve">A obra localiza-se nas zonas envolventes da Rua da Doca Seca e da </w:t>
      </w:r>
      <w:proofErr w:type="spellStart"/>
      <w:r w:rsidRPr="008D223E">
        <w:rPr>
          <w:rFonts w:cs="Arial"/>
          <w:bCs/>
          <w:szCs w:val="36"/>
          <w:shd w:val="clear" w:color="auto" w:fill="FFFFFF"/>
          <w:lang w:val="pt-PT"/>
        </w:rPr>
        <w:t>Fai</w:t>
      </w:r>
      <w:proofErr w:type="spellEnd"/>
      <w:r w:rsidRPr="008D223E">
        <w:rPr>
          <w:rFonts w:cs="Arial"/>
          <w:bCs/>
          <w:szCs w:val="36"/>
          <w:shd w:val="clear" w:color="auto" w:fill="FFFFFF"/>
          <w:lang w:val="pt-PT"/>
        </w:rPr>
        <w:t xml:space="preserve"> Chi </w:t>
      </w:r>
      <w:proofErr w:type="spellStart"/>
      <w:r w:rsidRPr="008D223E">
        <w:rPr>
          <w:rFonts w:cs="Arial"/>
          <w:bCs/>
          <w:szCs w:val="36"/>
          <w:shd w:val="clear" w:color="auto" w:fill="FFFFFF"/>
          <w:lang w:val="pt-PT"/>
        </w:rPr>
        <w:t>Kei</w:t>
      </w:r>
      <w:proofErr w:type="spellEnd"/>
      <w:r w:rsidRPr="008D223E">
        <w:rPr>
          <w:rFonts w:cs="Arial"/>
          <w:bCs/>
          <w:szCs w:val="36"/>
          <w:shd w:val="clear" w:color="auto" w:fill="FFFFFF"/>
          <w:lang w:val="pt-PT"/>
        </w:rPr>
        <w:t xml:space="preserve"> e consiste na instalação da rede de drenagem de águas pluviais e residuais, repavimentação das vias rodoviárias e passeios,</w:t>
      </w:r>
      <w:r w:rsidRPr="008D223E">
        <w:rPr>
          <w:rFonts w:cs="Arial" w:hint="eastAsia"/>
          <w:bCs/>
          <w:szCs w:val="36"/>
          <w:shd w:val="clear" w:color="auto" w:fill="FFFFFF"/>
          <w:lang w:val="pt-PT"/>
        </w:rPr>
        <w:t xml:space="preserve"> </w:t>
      </w:r>
      <w:r w:rsidRPr="008D223E">
        <w:rPr>
          <w:rFonts w:cs="Arial"/>
          <w:bCs/>
          <w:szCs w:val="36"/>
          <w:shd w:val="clear" w:color="auto" w:fill="FFFFFF"/>
          <w:lang w:val="pt-PT"/>
        </w:rPr>
        <w:t xml:space="preserve">instalação de cabos eléctricos para equipamentos de trânsito, instalação de câmaras de visita e instalação de gradeamentos metálicos nas vias. </w:t>
      </w:r>
      <w:r>
        <w:rPr>
          <w:rFonts w:cs="Arial"/>
          <w:bCs/>
          <w:szCs w:val="36"/>
          <w:shd w:val="clear" w:color="auto" w:fill="FFFFFF"/>
          <w:lang w:val="pt-PT"/>
        </w:rPr>
        <w:t xml:space="preserve">Far-se-ão os possíveis para dar </w:t>
      </w:r>
      <w:r w:rsidRPr="008D223E">
        <w:rPr>
          <w:rFonts w:cs="Arial"/>
          <w:bCs/>
          <w:szCs w:val="36"/>
          <w:shd w:val="clear" w:color="auto" w:fill="FFFFFF"/>
          <w:lang w:val="pt-PT"/>
        </w:rPr>
        <w:t xml:space="preserve">início da obra </w:t>
      </w:r>
      <w:r>
        <w:rPr>
          <w:rFonts w:cs="Arial"/>
          <w:bCs/>
          <w:szCs w:val="36"/>
          <w:shd w:val="clear" w:color="auto" w:fill="FFFFFF"/>
          <w:lang w:val="pt-PT"/>
        </w:rPr>
        <w:t>n</w:t>
      </w:r>
      <w:r w:rsidRPr="008D223E">
        <w:rPr>
          <w:rFonts w:cs="Arial"/>
          <w:bCs/>
          <w:szCs w:val="36"/>
          <w:shd w:val="clear" w:color="auto" w:fill="FFFFFF"/>
          <w:lang w:val="pt-PT"/>
        </w:rPr>
        <w:t>o primeiro trimestre do próximo ano</w:t>
      </w:r>
      <w:r>
        <w:rPr>
          <w:rFonts w:cs="Arial"/>
          <w:bCs/>
          <w:szCs w:val="36"/>
          <w:shd w:val="clear" w:color="auto" w:fill="FFFFFF"/>
          <w:lang w:val="pt-PT"/>
        </w:rPr>
        <w:t xml:space="preserve">, com </w:t>
      </w:r>
      <w:r w:rsidRPr="008D223E">
        <w:rPr>
          <w:rFonts w:cs="Arial"/>
          <w:bCs/>
          <w:szCs w:val="36"/>
          <w:shd w:val="clear" w:color="auto" w:fill="FFFFFF"/>
          <w:lang w:val="pt-PT"/>
        </w:rPr>
        <w:t>o prazo máximo de execução de 120 dias de trabalho.</w:t>
      </w:r>
      <w:r w:rsidRPr="008D223E">
        <w:rPr>
          <w:rFonts w:ascii="Times New Roman" w:hAnsi="Times New Roman"/>
          <w:szCs w:val="32"/>
          <w:lang w:val="pt-PT"/>
        </w:rPr>
        <w:t xml:space="preserve"> </w:t>
      </w:r>
      <w:r w:rsidRPr="008D223E">
        <w:rPr>
          <w:rFonts w:cs="Arial"/>
          <w:bCs/>
          <w:szCs w:val="36"/>
          <w:shd w:val="clear" w:color="auto" w:fill="FFFFFF"/>
          <w:lang w:val="pt-PT"/>
        </w:rPr>
        <w:t xml:space="preserve"> </w:t>
      </w:r>
    </w:p>
    <w:p w:rsidR="001B5B6D" w:rsidRPr="008D223E" w:rsidRDefault="001B5B6D" w:rsidP="001B5B6D">
      <w:pPr>
        <w:rPr>
          <w:rFonts w:ascii="新細明體" w:hAnsi="新細明體"/>
        </w:rPr>
      </w:pPr>
    </w:p>
    <w:p w:rsidR="001B5B6D" w:rsidRDefault="001B5B6D" w:rsidP="001B5B6D">
      <w:pPr>
        <w:rPr>
          <w:rFonts w:ascii="新細明體" w:hAnsi="新細明體"/>
          <w:color w:val="000000"/>
        </w:rPr>
      </w:pPr>
    </w:p>
    <w:p w:rsidR="001B5B6D" w:rsidRDefault="001B5B6D" w:rsidP="001B5B6D">
      <w:pPr>
        <w:rPr>
          <w:rFonts w:ascii="新細明體" w:hAnsi="新細明體"/>
          <w:color w:val="000000"/>
        </w:rPr>
      </w:pPr>
    </w:p>
    <w:p w:rsidR="001B5B6D" w:rsidRDefault="001B5B6D" w:rsidP="001B5B6D">
      <w:pPr>
        <w:rPr>
          <w:rFonts w:ascii="新細明體" w:hAnsi="新細明體"/>
          <w:color w:val="000000"/>
        </w:rPr>
      </w:pPr>
    </w:p>
    <w:p w:rsidR="001B5B6D" w:rsidRDefault="001B5B6D" w:rsidP="001B5B6D">
      <w:pPr>
        <w:rPr>
          <w:rFonts w:ascii="新細明體" w:hAnsi="新細明體"/>
          <w:color w:val="000000"/>
        </w:rPr>
      </w:pPr>
    </w:p>
    <w:p w:rsidR="001B5B6D" w:rsidRPr="004C6AFA" w:rsidRDefault="001B5B6D" w:rsidP="001B5B6D">
      <w:pPr>
        <w:jc w:val="center"/>
        <w:rPr>
          <w:rFonts w:ascii="新細明體" w:hAnsi="新細明體"/>
          <w:b/>
        </w:rPr>
      </w:pPr>
      <w:r w:rsidRPr="004C6AFA">
        <w:rPr>
          <w:rFonts w:cs="Arial"/>
          <w:b/>
          <w:bCs/>
          <w:szCs w:val="36"/>
          <w:shd w:val="clear" w:color="auto" w:fill="FFFFFF"/>
          <w:lang w:val="pt-PT"/>
        </w:rPr>
        <w:t>Acto público de abertura de propostas do Concurso Público para a Obra de Reordenamento de Drenagem de Águas e Estrada adjacente à Rua da Doca Seca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1672"/>
        <w:gridCol w:w="1559"/>
        <w:gridCol w:w="1843"/>
      </w:tblGrid>
      <w:tr w:rsidR="001B5B6D" w:rsidRPr="008B64FC" w:rsidTr="006410E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6D" w:rsidRPr="008B64FC" w:rsidRDefault="001B5B6D" w:rsidP="006410EB">
            <w:pPr>
              <w:spacing w:line="240" w:lineRule="exact"/>
              <w:rPr>
                <w:szCs w:val="24"/>
              </w:rPr>
            </w:pPr>
            <w:r w:rsidRPr="008B64FC">
              <w:rPr>
                <w:szCs w:val="24"/>
              </w:rPr>
              <w:t>N.</w:t>
            </w:r>
            <w:r w:rsidRPr="008B64FC">
              <w:rPr>
                <w:szCs w:val="24"/>
                <w:lang w:val="pt-PT"/>
              </w:rPr>
              <w:t>º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6D" w:rsidRPr="008B64FC" w:rsidRDefault="001B5B6D" w:rsidP="006410EB">
            <w:pPr>
              <w:jc w:val="center"/>
              <w:rPr>
                <w:b/>
                <w:caps/>
                <w:szCs w:val="24"/>
              </w:rPr>
            </w:pPr>
            <w:r w:rsidRPr="008B64FC">
              <w:rPr>
                <w:caps/>
                <w:szCs w:val="24"/>
              </w:rPr>
              <w:t>Concorrente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6D" w:rsidRPr="008B64FC" w:rsidRDefault="001B5B6D" w:rsidP="006410EB">
            <w:pPr>
              <w:jc w:val="center"/>
              <w:rPr>
                <w:b/>
                <w:caps/>
                <w:sz w:val="22"/>
                <w:szCs w:val="24"/>
              </w:rPr>
            </w:pPr>
            <w:r w:rsidRPr="00F07335">
              <w:rPr>
                <w:caps/>
                <w:szCs w:val="24"/>
              </w:rPr>
              <w:t>Proposta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6D" w:rsidRPr="008B64FC" w:rsidRDefault="001B5B6D" w:rsidP="006410EB">
            <w:pPr>
              <w:jc w:val="center"/>
              <w:rPr>
                <w:b/>
                <w:caps/>
                <w:szCs w:val="24"/>
              </w:rPr>
            </w:pPr>
            <w:r w:rsidRPr="008B64FC">
              <w:rPr>
                <w:caps/>
                <w:szCs w:val="24"/>
                <w:lang w:val="pt-PT" w:eastAsia="zh-MO"/>
              </w:rPr>
              <w:t>Observações</w:t>
            </w:r>
          </w:p>
        </w:tc>
      </w:tr>
      <w:tr w:rsidR="001B5B6D" w:rsidRPr="008B64FC" w:rsidTr="00641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6D" w:rsidRPr="008B64FC" w:rsidRDefault="001B5B6D" w:rsidP="006410EB">
            <w:pPr>
              <w:widowControl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6D" w:rsidRPr="008B64FC" w:rsidRDefault="001B5B6D" w:rsidP="006410EB">
            <w:pPr>
              <w:widowControl/>
              <w:rPr>
                <w:b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6D" w:rsidRPr="008B64FC" w:rsidRDefault="001B5B6D" w:rsidP="006410EB">
            <w:pPr>
              <w:jc w:val="center"/>
              <w:rPr>
                <w:caps/>
                <w:szCs w:val="24"/>
              </w:rPr>
            </w:pPr>
            <w:r w:rsidRPr="008B64FC">
              <w:rPr>
                <w:caps/>
                <w:szCs w:val="24"/>
                <w:lang w:val="pt-PT"/>
              </w:rPr>
              <w:t>Preço (MOP$)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6D" w:rsidRPr="00F70A2F" w:rsidRDefault="001B5B6D" w:rsidP="006410EB">
            <w:pPr>
              <w:ind w:rightChars="-45" w:right="-108"/>
              <w:jc w:val="center"/>
              <w:rPr>
                <w:caps/>
                <w:szCs w:val="24"/>
                <w:lang w:val="pt-PT"/>
              </w:rPr>
            </w:pPr>
            <w:r w:rsidRPr="00F70A2F">
              <w:rPr>
                <w:caps/>
                <w:szCs w:val="24"/>
                <w:lang w:val="pt-PT"/>
              </w:rPr>
              <w:t xml:space="preserve">Prazo </w:t>
            </w:r>
          </w:p>
          <w:p w:rsidR="001B5B6D" w:rsidRPr="00F70A2F" w:rsidRDefault="001B5B6D" w:rsidP="006410EB">
            <w:pPr>
              <w:ind w:rightChars="-45" w:right="-108"/>
              <w:jc w:val="center"/>
              <w:rPr>
                <w:b/>
                <w:caps/>
                <w:szCs w:val="24"/>
              </w:rPr>
            </w:pPr>
            <w:r w:rsidRPr="00F70A2F">
              <w:rPr>
                <w:caps/>
                <w:szCs w:val="24"/>
                <w:lang w:val="pt-PT"/>
              </w:rPr>
              <w:t>(dias de Trabalho)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6D" w:rsidRPr="008B64FC" w:rsidRDefault="001B5B6D" w:rsidP="006410EB">
            <w:pPr>
              <w:widowControl/>
              <w:rPr>
                <w:b/>
                <w:szCs w:val="24"/>
              </w:rPr>
            </w:pPr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Companhia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Cheong Kong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jc w:val="center"/>
            </w:pPr>
            <w:r w:rsidRPr="00FB04BB">
              <w:t>4 543 880,00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D" w:rsidRPr="008B64FC" w:rsidRDefault="001B5B6D" w:rsidP="006410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Companhia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Engenharia</w:t>
            </w:r>
            <w:proofErr w:type="spellEnd"/>
            <w:r>
              <w:rPr>
                <w:szCs w:val="24"/>
              </w:rPr>
              <w:t xml:space="preserve"> Kin Pang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5 035 905,00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Empresa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Obras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Engenharia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Tak</w:t>
            </w:r>
            <w:proofErr w:type="spellEnd"/>
            <w:r>
              <w:rPr>
                <w:szCs w:val="24"/>
              </w:rPr>
              <w:t xml:space="preserve"> Fat Kin </w:t>
            </w:r>
            <w:proofErr w:type="spellStart"/>
            <w:r>
              <w:rPr>
                <w:szCs w:val="24"/>
              </w:rPr>
              <w:t>Ip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4 785 100,00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Lei </w:t>
            </w:r>
            <w:proofErr w:type="spellStart"/>
            <w:r>
              <w:rPr>
                <w:szCs w:val="24"/>
              </w:rPr>
              <w:t>Seng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Construções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5 074 170,00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Companhia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Construções</w:t>
            </w:r>
            <w:proofErr w:type="spellEnd"/>
            <w:r>
              <w:rPr>
                <w:szCs w:val="24"/>
              </w:rPr>
              <w:t xml:space="preserve"> Kin Leong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6 600 000,00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Companhia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Obras</w:t>
            </w:r>
            <w:proofErr w:type="spellEnd"/>
            <w:r>
              <w:rPr>
                <w:szCs w:val="24"/>
              </w:rPr>
              <w:t xml:space="preserve"> Ken </w:t>
            </w:r>
            <w:proofErr w:type="spellStart"/>
            <w:r>
              <w:rPr>
                <w:szCs w:val="24"/>
              </w:rPr>
              <w:t>Meng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4 528 000,00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Sociedade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Civil On </w:t>
            </w:r>
            <w:proofErr w:type="spellStart"/>
            <w:r>
              <w:rPr>
                <w:szCs w:val="24"/>
              </w:rPr>
              <w:t>Nong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  <w:r>
              <w:rPr>
                <w:szCs w:val="24"/>
              </w:rPr>
              <w:t xml:space="preserve">/ </w:t>
            </w:r>
            <w:proofErr w:type="spellStart"/>
            <w:r>
              <w:rPr>
                <w:szCs w:val="24"/>
              </w:rPr>
              <w:t>Sociedade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Civil In Kai,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4 847 650,00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Tat</w:t>
            </w:r>
            <w:proofErr w:type="spellEnd"/>
            <w:r>
              <w:rPr>
                <w:szCs w:val="24"/>
              </w:rPr>
              <w:t xml:space="preserve"> Cheong – </w:t>
            </w:r>
            <w:proofErr w:type="spellStart"/>
            <w:r>
              <w:rPr>
                <w:szCs w:val="24"/>
              </w:rPr>
              <w:t>Companhia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Engenharia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5 414 075,00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Companhia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Imobiliária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Resoma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5 570 810,00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Companhia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Engenharia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Iao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Hou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0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  <w:tr w:rsidR="001B5B6D" w:rsidRPr="008B64FC" w:rsidTr="00641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1B5B6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AD &amp; C </w:t>
            </w:r>
            <w:proofErr w:type="spellStart"/>
            <w:r>
              <w:rPr>
                <w:szCs w:val="24"/>
              </w:rPr>
              <w:t>Engenharia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Construção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Companhia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Limitada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5 816 790,00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FB04BB" w:rsidRDefault="001B5B6D" w:rsidP="006410EB">
            <w:pPr>
              <w:spacing w:beforeLines="5" w:before="18" w:line="200" w:lineRule="exact"/>
              <w:jc w:val="center"/>
            </w:pPr>
            <w:r w:rsidRPr="00FB04BB"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6D" w:rsidRPr="008B64FC" w:rsidRDefault="001B5B6D" w:rsidP="006410EB">
            <w:pPr>
              <w:spacing w:beforeLines="5" w:before="18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Admitida</w:t>
            </w:r>
            <w:proofErr w:type="spellEnd"/>
          </w:p>
        </w:tc>
      </w:tr>
    </w:tbl>
    <w:p w:rsidR="001B5B6D" w:rsidRDefault="001B5B6D" w:rsidP="001B5B6D">
      <w:pPr>
        <w:rPr>
          <w:rFonts w:ascii="新細明體" w:hAnsi="新細明體"/>
          <w:color w:val="000000"/>
        </w:rPr>
      </w:pPr>
      <w:bookmarkStart w:id="0" w:name="_GoBack"/>
      <w:bookmarkEnd w:id="0"/>
    </w:p>
    <w:sectPr w:rsidR="001B5B6D" w:rsidSect="00584E7B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E59"/>
    <w:multiLevelType w:val="hybridMultilevel"/>
    <w:tmpl w:val="0096CB84"/>
    <w:lvl w:ilvl="0" w:tplc="E402B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6D"/>
    <w:rsid w:val="001B5B6D"/>
    <w:rsid w:val="00386DED"/>
    <w:rsid w:val="00992F6C"/>
    <w:rsid w:val="00A0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dcterms:created xsi:type="dcterms:W3CDTF">2019-10-25T09:02:00Z</dcterms:created>
  <dcterms:modified xsi:type="dcterms:W3CDTF">2019-10-25T09:49:00Z</dcterms:modified>
</cp:coreProperties>
</file>