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A0" w:rsidRPr="006C5DEB" w:rsidRDefault="009B236C">
      <w:pPr>
        <w:pStyle w:val="Corpo"/>
        <w:jc w:val="center"/>
        <w:rPr>
          <w:rStyle w:val="Nenhuma"/>
          <w:rFonts w:ascii="Times New Roman" w:eastAsia="Times New Roman" w:hAnsi="Times New Roman" w:cs="Times New Roman"/>
          <w:b/>
          <w:bCs/>
          <w:sz w:val="28"/>
          <w:szCs w:val="28"/>
        </w:rPr>
      </w:pPr>
      <w:bookmarkStart w:id="0" w:name="_GoBack"/>
      <w:bookmarkEnd w:id="0"/>
      <w:r w:rsidRPr="006C5DEB">
        <w:rPr>
          <w:rStyle w:val="Nenhuma"/>
          <w:rFonts w:ascii="Times New Roman" w:hAnsi="Times New Roman"/>
          <w:b/>
          <w:bCs/>
          <w:sz w:val="28"/>
          <w:szCs w:val="28"/>
        </w:rPr>
        <w:t>ESTATÍSTICA DA CRIMINALIDADE E DOS TRABALHOS DE EXECUÇÃO DA LEI ENTRE OS MESES DE JANEIRO E SETEMBRO DE 2020 EM MACAU</w:t>
      </w:r>
    </w:p>
    <w:p w:rsidR="00EC0FA0" w:rsidRPr="006C5DEB" w:rsidRDefault="00EC0FA0">
      <w:pPr>
        <w:pStyle w:val="Corpo"/>
        <w:rPr>
          <w:rStyle w:val="Nenhuma"/>
          <w:rFonts w:ascii="Times New Roman" w:eastAsia="Times New Roman" w:hAnsi="Times New Roman" w:cs="Times New Roman"/>
          <w:sz w:val="24"/>
          <w:szCs w:val="24"/>
        </w:rPr>
      </w:pPr>
    </w:p>
    <w:p w:rsidR="00EC0FA0" w:rsidRPr="006C5DEB" w:rsidRDefault="009B236C">
      <w:pPr>
        <w:pStyle w:val="Corpo"/>
        <w:rPr>
          <w:rStyle w:val="Nenhuma"/>
          <w:rFonts w:ascii="Times New Roman" w:eastAsia="Times New Roman" w:hAnsi="Times New Roman" w:cs="Times New Roman"/>
          <w:b/>
          <w:bCs/>
          <w:sz w:val="24"/>
          <w:szCs w:val="24"/>
        </w:rPr>
      </w:pPr>
      <w:r w:rsidRPr="006C5DEB">
        <w:rPr>
          <w:rStyle w:val="Nenhuma"/>
          <w:rFonts w:ascii="Times New Roman" w:hAnsi="Times New Roman"/>
          <w:b/>
          <w:bCs/>
          <w:sz w:val="24"/>
          <w:szCs w:val="24"/>
        </w:rPr>
        <w:t>Caros amigos do sector de comunicação social:</w:t>
      </w:r>
    </w:p>
    <w:p w:rsidR="00EC0FA0" w:rsidRPr="006C5DEB" w:rsidRDefault="009B236C" w:rsidP="006A2347">
      <w:pPr>
        <w:pStyle w:val="Corpo"/>
        <w:ind w:firstLine="426"/>
        <w:jc w:val="both"/>
        <w:rPr>
          <w:rStyle w:val="Nenhuma"/>
          <w:rFonts w:ascii="Times New Roman" w:eastAsia="Times New Roman" w:hAnsi="Times New Roman" w:cs="Times New Roman"/>
          <w:sz w:val="24"/>
          <w:szCs w:val="24"/>
        </w:rPr>
      </w:pPr>
      <w:r w:rsidRPr="006C5DEB">
        <w:rPr>
          <w:rStyle w:val="Nenhuma"/>
          <w:rFonts w:ascii="Times New Roman" w:eastAsia="Times New Roman" w:hAnsi="Times New Roman" w:cs="Times New Roman"/>
          <w:sz w:val="24"/>
          <w:szCs w:val="24"/>
        </w:rPr>
        <w:t xml:space="preserve">A </w:t>
      </w:r>
      <w:r w:rsidRPr="006A2347">
        <w:rPr>
          <w:rStyle w:val="Nenhuma"/>
          <w:rFonts w:ascii="Times New Roman" w:hAnsi="Times New Roman"/>
          <w:sz w:val="24"/>
          <w:szCs w:val="24"/>
        </w:rPr>
        <w:t>eclosão</w:t>
      </w:r>
      <w:r w:rsidRPr="006C5DEB">
        <w:rPr>
          <w:rStyle w:val="Nenhuma"/>
          <w:rFonts w:ascii="Times New Roman" w:hAnsi="Times New Roman"/>
          <w:sz w:val="24"/>
          <w:szCs w:val="24"/>
        </w:rPr>
        <w:t xml:space="preserve"> da epidemia da pneumonia causada pelo novo tipo de coronavírus, tem provocado graves impactos na economia global e na vida dos cidadãos. O Governo da RAEM vem tomando decididamente uma série de medidas preventivas, com o que tem evitado a propagação da doença e mantido taxa</w:t>
      </w:r>
      <w:r w:rsidR="00074AE3" w:rsidRPr="006C5DEB">
        <w:rPr>
          <w:rStyle w:val="Nenhuma"/>
          <w:rFonts w:ascii="Times New Roman" w:hAnsi="Times New Roman"/>
          <w:sz w:val="24"/>
          <w:szCs w:val="24"/>
        </w:rPr>
        <w:t xml:space="preserve"> “</w:t>
      </w:r>
      <w:r w:rsidRPr="006C5DEB">
        <w:rPr>
          <w:rStyle w:val="Nenhuma"/>
          <w:rFonts w:ascii="Times New Roman" w:hAnsi="Times New Roman"/>
          <w:sz w:val="24"/>
          <w:szCs w:val="24"/>
        </w:rPr>
        <w:t xml:space="preserve">zero” na sua evolução por longo tempo, permitindo-se implementar gradualmente alargamento dos movimentos de entrada e saída de pessoas do </w:t>
      </w:r>
      <w:r w:rsidR="0013112A" w:rsidRPr="006C5DEB">
        <w:rPr>
          <w:rStyle w:val="Nenhuma"/>
          <w:rFonts w:ascii="Times New Roman" w:hAnsi="Times New Roman"/>
          <w:sz w:val="24"/>
          <w:szCs w:val="24"/>
        </w:rPr>
        <w:t xml:space="preserve">Interior </w:t>
      </w:r>
      <w:r w:rsidRPr="006C5DEB">
        <w:rPr>
          <w:rStyle w:val="Nenhuma"/>
          <w:rFonts w:ascii="Times New Roman" w:hAnsi="Times New Roman"/>
          <w:sz w:val="24"/>
          <w:szCs w:val="24"/>
        </w:rPr>
        <w:t>da China, concedendo maiores oportunidades à recuperação económica. A área de segurança para além de envidar todos os esforços no acompanhamento do trabalho da prevenção epidémica do Governo da RAEM, dá ainda muita atenção com a tendência da evolução da criminalidade e de outros actos ilícitos adoptando imediatamente medidas eficazes de prevenção e combate. Procede-se com oportunidade à análise e divulgação pública atempada quer do aumento quer da redução da casuística bem como das razões que influenciam essas variações.</w:t>
      </w:r>
    </w:p>
    <w:p w:rsidR="00EC0FA0" w:rsidRPr="006C5DEB" w:rsidRDefault="009B236C" w:rsidP="006A2347">
      <w:pPr>
        <w:pStyle w:val="Corpo"/>
        <w:ind w:firstLine="426"/>
        <w:jc w:val="both"/>
        <w:rPr>
          <w:rStyle w:val="Nenhuma"/>
          <w:rFonts w:ascii="Times New Roman" w:eastAsia="Times New Roman" w:hAnsi="Times New Roman" w:cs="Times New Roman"/>
          <w:sz w:val="24"/>
          <w:szCs w:val="24"/>
        </w:rPr>
      </w:pPr>
      <w:r w:rsidRPr="006C5DEB">
        <w:rPr>
          <w:rStyle w:val="Nenhuma"/>
          <w:rFonts w:ascii="Times New Roman" w:hAnsi="Times New Roman"/>
          <w:sz w:val="24"/>
          <w:szCs w:val="24"/>
        </w:rPr>
        <w:t>De seguida, e para que sirva de referência, expomos à comunicação social os dados estatísticos da criminalidade, bem como os relativos à execução da lei, relativamente aos primeiros três trimestre de 2020:</w:t>
      </w:r>
    </w:p>
    <w:p w:rsidR="00EC0FA0" w:rsidRPr="006C5DEB" w:rsidRDefault="009B236C">
      <w:pPr>
        <w:pStyle w:val="a5"/>
        <w:numPr>
          <w:ilvl w:val="0"/>
          <w:numId w:val="2"/>
        </w:numPr>
        <w:spacing w:after="240"/>
        <w:jc w:val="both"/>
        <w:rPr>
          <w:rFonts w:ascii="Times New Roman" w:hAnsi="Times New Roman"/>
          <w:sz w:val="24"/>
          <w:szCs w:val="24"/>
          <w:lang w:val="pt-PT"/>
        </w:rPr>
      </w:pPr>
      <w:r w:rsidRPr="006C5DEB">
        <w:rPr>
          <w:rStyle w:val="Nenhuma"/>
          <w:rFonts w:ascii="Times New Roman" w:hAnsi="Times New Roman"/>
          <w:sz w:val="24"/>
          <w:szCs w:val="24"/>
          <w:lang w:val="pt-PT"/>
        </w:rPr>
        <w:t>Entre os meses de Janeiro e Setembro de 2020, a Polícia de Macau instaurou um total de 7.092 inquéritos criminais, o que traduz uma diminuição de 3.506 casos, relativamente ao mesmo período do ano 2019, representando uma descida de 33,1%.</w:t>
      </w:r>
    </w:p>
    <w:p w:rsidR="00EC0FA0" w:rsidRDefault="009B236C" w:rsidP="00943BE2">
      <w:pPr>
        <w:pStyle w:val="a5"/>
        <w:numPr>
          <w:ilvl w:val="2"/>
          <w:numId w:val="4"/>
        </w:numPr>
        <w:ind w:left="993" w:hanging="567"/>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Foram registados, no total, 1.522 casos de “crimes contra as pessoas”, uma descida de 19,3%, em comparação com o mesmo período do ano anterior. De entre estes, no crime de “sequestro”, vulgarmente conhecido por crime de</w:t>
      </w:r>
      <w:r w:rsidR="00BF2DEF" w:rsidRPr="006C5DEB">
        <w:rPr>
          <w:rStyle w:val="Nenhuma"/>
          <w:rFonts w:ascii="Times New Roman" w:hAnsi="Times New Roman"/>
          <w:sz w:val="24"/>
          <w:szCs w:val="24"/>
          <w:lang w:val="pt-PT"/>
        </w:rPr>
        <w:t xml:space="preserve"> </w:t>
      </w:r>
      <w:r w:rsidRPr="006C5DEB">
        <w:rPr>
          <w:rStyle w:val="Nenhuma"/>
          <w:rFonts w:ascii="Times New Roman" w:hAnsi="Times New Roman"/>
          <w:sz w:val="24"/>
          <w:szCs w:val="24"/>
          <w:lang w:val="pt-PT"/>
        </w:rPr>
        <w:t>“cárcere privado”, registou-se 29 casos, representando uma descida de 249 casos comparativamente com o mesmo período do ano passado, uma descida significativa de 89,6%. Quanto ao crime de “ofensa simples à integridade física”, registaram-se 898 casos, representando uma descida de 88 casos comparativamente ao mesmo período do ano 2019, um decréscimo de 8,9%. No crime de “violação” foram registados 18 casos, significando uma descida de 14 casos em comparação com o período homólogo do ano transacto, uma descida de 43,8%. Registaram-se 69 casos de crime de “injúria”, uma subida de 13 casos comparados com o período homólogo do ano passado, uma subida de 23,2%. Registaram-se 18 casos de crime de “abuso sexual de crianças”, um aumento de 7 casos, representando uma subida de 63,6% comparativamente ao mesmo período do ano 2019.</w:t>
      </w:r>
    </w:p>
    <w:p w:rsidR="00CC56E3" w:rsidRPr="00CC56E3" w:rsidRDefault="009B236C" w:rsidP="00CC56E3">
      <w:pPr>
        <w:pStyle w:val="a5"/>
        <w:numPr>
          <w:ilvl w:val="2"/>
          <w:numId w:val="4"/>
        </w:numPr>
        <w:ind w:left="993" w:hanging="567"/>
        <w:jc w:val="both"/>
        <w:rPr>
          <w:rFonts w:ascii="Times New Roman" w:hAnsi="Times New Roman"/>
          <w:sz w:val="24"/>
          <w:szCs w:val="24"/>
          <w:lang w:val="pt-PT"/>
        </w:rPr>
      </w:pPr>
      <w:r w:rsidRPr="006C5DEB">
        <w:rPr>
          <w:rStyle w:val="Nenhuma"/>
          <w:rFonts w:ascii="Times New Roman" w:hAnsi="Times New Roman"/>
          <w:sz w:val="24"/>
          <w:szCs w:val="24"/>
          <w:lang w:val="pt-PT"/>
        </w:rPr>
        <w:lastRenderedPageBreak/>
        <w:t>Foram registados, no total, 3.913 casos de “crimes contra o património”, representando uma diminuição de 2.626 casos relativamente ao período homólogo do ano passado, o que significa uma descida de 40,2%, sendo de referir, os crimes de “usura”, vulgarmente conhecidos por “agiotagem”, tipologia que registou 57 casos, um decréscimo de 415 casos, correspondendo a uma descida significativa de 87,9%, em comparação com o período homólogo do ano transacto; neste grupo, os crimes de “burla”, registaram 671 casos, uma descida de 388 casos comparados com o mesmo período do ano passado, o que representa um decréscimo de 36,6%; quanto aos crimes de “furto” registaram-se 920 casos, uma descida de 1.078 casos quando comparado com o mesmo período do ano passado, assim representando um decréscimo de 54%.</w:t>
      </w:r>
    </w:p>
    <w:p w:rsidR="00EC0FA0" w:rsidRDefault="009B236C" w:rsidP="00517A28">
      <w:pPr>
        <w:pStyle w:val="a5"/>
        <w:numPr>
          <w:ilvl w:val="2"/>
          <w:numId w:val="4"/>
        </w:numPr>
        <w:ind w:left="993" w:hanging="567"/>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Relativamente aos “crimes contra a vida em sociedade”</w:t>
      </w:r>
      <w:r w:rsidR="00517A28" w:rsidRPr="006C5DEB">
        <w:rPr>
          <w:rStyle w:val="Nenhuma"/>
          <w:rFonts w:ascii="Times New Roman" w:hAnsi="Times New Roman"/>
          <w:sz w:val="24"/>
          <w:szCs w:val="24"/>
          <w:lang w:val="pt-PT"/>
        </w:rPr>
        <w:t xml:space="preserve">, registaram-se 455 casos, uma </w:t>
      </w:r>
      <w:r w:rsidRPr="006C5DEB">
        <w:rPr>
          <w:rStyle w:val="Nenhuma"/>
          <w:rFonts w:ascii="Times New Roman" w:hAnsi="Times New Roman"/>
          <w:sz w:val="24"/>
          <w:szCs w:val="24"/>
          <w:lang w:val="pt-PT"/>
        </w:rPr>
        <w:t>diminuição de 276 casos em comparação com o período homólogo do ano transacto ou seja, uma desc</w:t>
      </w:r>
      <w:r w:rsidR="00DA41BA" w:rsidRPr="006C5DEB">
        <w:rPr>
          <w:rStyle w:val="Nenhuma"/>
          <w:rFonts w:ascii="Times New Roman" w:hAnsi="Times New Roman"/>
          <w:sz w:val="24"/>
          <w:szCs w:val="24"/>
          <w:lang w:val="pt-PT"/>
        </w:rPr>
        <w:t>ida de 37,8%. De entre estes, o crime</w:t>
      </w:r>
      <w:r w:rsidRPr="006C5DEB">
        <w:rPr>
          <w:rStyle w:val="Nenhuma"/>
          <w:rFonts w:ascii="Times New Roman" w:hAnsi="Times New Roman"/>
          <w:sz w:val="24"/>
          <w:szCs w:val="24"/>
          <w:lang w:val="pt-PT"/>
        </w:rPr>
        <w:t xml:space="preserve"> de “uso do documento de identificação de outrem”, registou 71 casos, representando uma subida de 26 casos, uma subida de 57,8%; nos crimes de “falsificação de documento” e “fogo posto” registaram-se 222 e 23 casos, um decréscimo de 141 e 15 casos em comparação com o período homólogo do ano transacto, ou seja uma descida de 38,8% e 39,5%, respectivamente.</w:t>
      </w:r>
    </w:p>
    <w:p w:rsidR="00EC0FA0" w:rsidRDefault="009B236C" w:rsidP="007943C1">
      <w:pPr>
        <w:pStyle w:val="a5"/>
        <w:numPr>
          <w:ilvl w:val="2"/>
          <w:numId w:val="4"/>
        </w:numPr>
        <w:ind w:left="993" w:hanging="567"/>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Quanto ao grupo dos “crimes contra o território” foram registados, no total, 346 casos, uma diminuição de 238 casos comparativamente ao período homólogo do ano transacto, significando uma descida de 40,8%, de entre os quais se anotam 224 casos no “crime de desobediência”, significando uma descida de 147 casos comparativamente com o período homólogo do ano transacto, ou seja, uma diminuição de 39,6%, por seu turno, no “crime de falsidade de declaração” registaram-se 80 casos, uma redução de 71 casos em comparação com o período homólogo do ano passado, representando uma descida de 47%.</w:t>
      </w:r>
    </w:p>
    <w:p w:rsidR="00EC0FA0" w:rsidRDefault="009B236C" w:rsidP="00E45059">
      <w:pPr>
        <w:pStyle w:val="a5"/>
        <w:numPr>
          <w:ilvl w:val="2"/>
          <w:numId w:val="4"/>
        </w:numPr>
        <w:ind w:left="993" w:hanging="567"/>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Registou-se um total de 856 casos de “crimes não classificados noutros grupos” (Legislação Penal Avulsa), basicamente equivalente em comparação com o período homólogo do ano transacto. Quanto ao “tráfico de droga, registou-se um total de 53 casos, uma redução de 41</w:t>
      </w:r>
      <w:r w:rsidR="002822D5" w:rsidRPr="006C5DEB">
        <w:rPr>
          <w:rStyle w:val="Nenhuma"/>
          <w:rFonts w:ascii="Times New Roman" w:hAnsi="Times New Roman"/>
          <w:sz w:val="24"/>
          <w:szCs w:val="24"/>
          <w:lang w:val="pt-PT"/>
        </w:rPr>
        <w:t xml:space="preserve"> casos</w:t>
      </w:r>
      <w:r w:rsidRPr="006C5DEB">
        <w:rPr>
          <w:rStyle w:val="Nenhuma"/>
          <w:rFonts w:ascii="Times New Roman" w:hAnsi="Times New Roman"/>
          <w:sz w:val="24"/>
          <w:szCs w:val="24"/>
          <w:lang w:val="pt-PT"/>
        </w:rPr>
        <w:t xml:space="preserve"> em comparação com o mesmo período de 2019, representando uma descida de 43,6%; o “crime informático”, registou 196 casos, uma reduçã</w:t>
      </w:r>
      <w:r w:rsidR="00881CC2" w:rsidRPr="006C5DEB">
        <w:rPr>
          <w:rStyle w:val="Nenhuma"/>
          <w:rFonts w:ascii="Times New Roman" w:hAnsi="Times New Roman"/>
          <w:sz w:val="24"/>
          <w:szCs w:val="24"/>
          <w:lang w:val="pt-PT"/>
        </w:rPr>
        <w:t>o de 7</w:t>
      </w:r>
      <w:r w:rsidRPr="006C5DEB">
        <w:rPr>
          <w:rStyle w:val="Nenhuma"/>
          <w:rFonts w:ascii="Times New Roman" w:hAnsi="Times New Roman"/>
          <w:sz w:val="24"/>
          <w:szCs w:val="24"/>
          <w:lang w:val="pt-PT"/>
        </w:rPr>
        <w:t>, representando uma descida de 3,4%.</w:t>
      </w:r>
    </w:p>
    <w:p w:rsidR="006A2347" w:rsidRPr="006A2347" w:rsidRDefault="006A2347" w:rsidP="006A2347">
      <w:pPr>
        <w:pStyle w:val="a5"/>
        <w:spacing w:after="0" w:line="240" w:lineRule="auto"/>
        <w:ind w:left="992"/>
        <w:jc w:val="both"/>
      </w:pPr>
    </w:p>
    <w:p w:rsidR="00EC0FA0" w:rsidRDefault="009B236C">
      <w:pPr>
        <w:pStyle w:val="a5"/>
        <w:numPr>
          <w:ilvl w:val="0"/>
          <w:numId w:val="5"/>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Nos primeiros nove meses de 2020, registaram-se 169 casos de “criminalidade violenta”, um decréscimo de 354, representando uma descida</w:t>
      </w:r>
      <w:r w:rsidR="00881CC2" w:rsidRPr="006C5DEB">
        <w:rPr>
          <w:rStyle w:val="Nenhuma"/>
          <w:rFonts w:ascii="Times New Roman" w:hAnsi="Times New Roman"/>
          <w:sz w:val="24"/>
          <w:szCs w:val="24"/>
          <w:lang w:val="pt-PT"/>
        </w:rPr>
        <w:t xml:space="preserve"> significativa</w:t>
      </w:r>
      <w:r w:rsidRPr="006C5DEB">
        <w:rPr>
          <w:rStyle w:val="Nenhuma"/>
          <w:rFonts w:ascii="Times New Roman" w:hAnsi="Times New Roman"/>
          <w:sz w:val="24"/>
          <w:szCs w:val="24"/>
          <w:lang w:val="pt-PT"/>
        </w:rPr>
        <w:t xml:space="preserve"> de 67,7% comparando com o período homólogo do ano passado. No âmbito dos crimes de violência grave, de “rapto”, de “homicídio” e de “ofensas corporais graves”, continuamos a manter uma boa situação, significada pela casuística muito baixa.</w:t>
      </w:r>
    </w:p>
    <w:p w:rsidR="00CC56E3" w:rsidRPr="00CC56E3" w:rsidRDefault="009B236C" w:rsidP="00CC56E3">
      <w:pPr>
        <w:pStyle w:val="a5"/>
        <w:numPr>
          <w:ilvl w:val="0"/>
          <w:numId w:val="5"/>
        </w:numPr>
        <w:jc w:val="both"/>
        <w:rPr>
          <w:rFonts w:ascii="Times New Roman" w:hAnsi="Times New Roman"/>
          <w:sz w:val="24"/>
          <w:szCs w:val="24"/>
          <w:lang w:val="pt-PT"/>
        </w:rPr>
      </w:pPr>
      <w:r w:rsidRPr="006C5DEB">
        <w:rPr>
          <w:rStyle w:val="Nenhuma"/>
          <w:rFonts w:ascii="Times New Roman" w:hAnsi="Times New Roman"/>
          <w:sz w:val="24"/>
          <w:szCs w:val="24"/>
          <w:lang w:val="pt-PT"/>
        </w:rPr>
        <w:lastRenderedPageBreak/>
        <w:t xml:space="preserve">Quanto às acções de prevenção e combate à imigração ilegal, nos primeiros três trimestres deste ano, registaram-se 464 imigrantes ilegais, um decréscimo de 38,2%, representando uma descida de 287 indivíduos em comparação com o período homólogo do ano passado, dos quais 375 são provenientes do </w:t>
      </w:r>
      <w:r w:rsidR="00175EAD" w:rsidRPr="006C5DEB">
        <w:rPr>
          <w:rStyle w:val="Nenhuma"/>
          <w:rFonts w:ascii="Times New Roman" w:hAnsi="Times New Roman"/>
          <w:sz w:val="24"/>
          <w:szCs w:val="24"/>
          <w:lang w:val="pt-PT"/>
        </w:rPr>
        <w:t xml:space="preserve">Interior </w:t>
      </w:r>
      <w:r w:rsidRPr="006C5DEB">
        <w:rPr>
          <w:rStyle w:val="Nenhuma"/>
          <w:rFonts w:ascii="Times New Roman" w:hAnsi="Times New Roman"/>
          <w:sz w:val="24"/>
          <w:szCs w:val="24"/>
          <w:lang w:val="pt-PT"/>
        </w:rPr>
        <w:t>da China e os restantes 89 indivíduos são de outros países; por outro lado, foram registados 8.125 pessoas em situação de excesso de permanência, uma redução de 12.183 pessoas, comparando com o mesmo período do ano transacto, o que significa uma descida de 60%.</w:t>
      </w:r>
    </w:p>
    <w:p w:rsidR="00CC56E3" w:rsidRPr="006C5DEB" w:rsidRDefault="00CC56E3" w:rsidP="006A2347">
      <w:pPr>
        <w:pStyle w:val="a5"/>
        <w:spacing w:after="0" w:line="240" w:lineRule="auto"/>
        <w:ind w:left="992"/>
        <w:jc w:val="both"/>
        <w:rPr>
          <w:rFonts w:ascii="Times New Roman" w:hAnsi="Times New Roman"/>
          <w:sz w:val="24"/>
          <w:szCs w:val="24"/>
          <w:lang w:val="pt-PT"/>
        </w:rPr>
      </w:pPr>
    </w:p>
    <w:p w:rsidR="00EC0FA0" w:rsidRDefault="009B236C">
      <w:pPr>
        <w:pStyle w:val="a5"/>
        <w:numPr>
          <w:ilvl w:val="0"/>
          <w:numId w:val="5"/>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No âmbito da “delinquência juvenil” foram registados 40 casos e o envolvimento de 59 jovens, representando um decréscimo de 7 casos e de 16 jovens, em comparação com o período homólogo do ano transacto.</w:t>
      </w:r>
    </w:p>
    <w:p w:rsidR="00A87F53" w:rsidRPr="006C5DEB" w:rsidRDefault="00A87F53" w:rsidP="006A2347">
      <w:pPr>
        <w:pStyle w:val="a5"/>
        <w:spacing w:after="0" w:line="240" w:lineRule="auto"/>
        <w:ind w:left="992"/>
        <w:jc w:val="both"/>
        <w:rPr>
          <w:rFonts w:ascii="Times New Roman" w:hAnsi="Times New Roman"/>
          <w:sz w:val="24"/>
          <w:szCs w:val="24"/>
          <w:lang w:val="pt-PT"/>
        </w:rPr>
      </w:pPr>
    </w:p>
    <w:p w:rsidR="00A87F53" w:rsidRPr="00A87F53" w:rsidRDefault="009B236C" w:rsidP="00A87F53">
      <w:pPr>
        <w:pStyle w:val="a5"/>
        <w:numPr>
          <w:ilvl w:val="0"/>
          <w:numId w:val="5"/>
        </w:numPr>
        <w:jc w:val="both"/>
        <w:rPr>
          <w:rFonts w:ascii="Times New Roman" w:hAnsi="Times New Roman"/>
          <w:sz w:val="24"/>
          <w:szCs w:val="24"/>
          <w:lang w:val="pt-PT"/>
        </w:rPr>
      </w:pPr>
      <w:r w:rsidRPr="006C5DEB">
        <w:rPr>
          <w:rStyle w:val="Nenhuma"/>
          <w:rFonts w:ascii="Times New Roman" w:hAnsi="Times New Roman"/>
          <w:sz w:val="24"/>
          <w:szCs w:val="24"/>
          <w:lang w:val="pt-PT"/>
        </w:rPr>
        <w:t>Durante as operações policiais e operações de investigação efectuadas nos primeiros três trimestres deste ano foram detidos e presentes ao Ministério Público um total 2.555 indivíduos, uma redução de 2.447 indivíduos, comparando com o mesmo período do ano transacto, o que significa uma descida de 48,9%.</w:t>
      </w:r>
    </w:p>
    <w:p w:rsidR="00A87F53" w:rsidRPr="006C5DEB" w:rsidRDefault="00A87F53" w:rsidP="006A2347">
      <w:pPr>
        <w:pStyle w:val="a5"/>
        <w:spacing w:after="0" w:line="240" w:lineRule="auto"/>
        <w:ind w:left="992"/>
        <w:jc w:val="both"/>
        <w:rPr>
          <w:rFonts w:ascii="Times New Roman" w:hAnsi="Times New Roman"/>
          <w:sz w:val="24"/>
          <w:szCs w:val="24"/>
          <w:lang w:val="pt-PT"/>
        </w:rPr>
      </w:pPr>
    </w:p>
    <w:p w:rsidR="00EC0FA0" w:rsidRPr="006C5DEB" w:rsidRDefault="009B236C">
      <w:pPr>
        <w:pStyle w:val="a5"/>
        <w:numPr>
          <w:ilvl w:val="0"/>
          <w:numId w:val="5"/>
        </w:numPr>
        <w:jc w:val="both"/>
        <w:rPr>
          <w:rFonts w:ascii="Times New Roman" w:hAnsi="Times New Roman"/>
          <w:sz w:val="24"/>
          <w:szCs w:val="24"/>
          <w:lang w:val="pt-PT"/>
        </w:rPr>
      </w:pPr>
      <w:r w:rsidRPr="006C5DEB">
        <w:rPr>
          <w:rStyle w:val="Nenhuma"/>
          <w:rFonts w:ascii="Times New Roman" w:hAnsi="Times New Roman"/>
          <w:sz w:val="24"/>
          <w:szCs w:val="24"/>
          <w:lang w:val="pt-PT"/>
        </w:rPr>
        <w:t>Com a eficácia da execução do “Regime jurídico do transporte de passageiros em automóveis ligeiros de aluguer”, vulgarmente chamada a “nova lei de táxis” e devido à influência da redução de turistas causada pela epidemia, houve uma descida constante de casos de infracção dos taxistas. Nos primeiros três trimestres deste ano, a Polí</w:t>
      </w:r>
      <w:r w:rsidR="00191284" w:rsidRPr="006C5DEB">
        <w:rPr>
          <w:rStyle w:val="Nenhuma"/>
          <w:rFonts w:ascii="Times New Roman" w:hAnsi="Times New Roman"/>
          <w:sz w:val="24"/>
          <w:szCs w:val="24"/>
          <w:lang w:val="pt-PT"/>
        </w:rPr>
        <w:t>cia autu</w:t>
      </w:r>
      <w:r w:rsidR="003A5D54" w:rsidRPr="006C5DEB">
        <w:rPr>
          <w:rStyle w:val="Nenhuma"/>
          <w:rFonts w:ascii="Times New Roman" w:hAnsi="Times New Roman"/>
          <w:sz w:val="24"/>
          <w:szCs w:val="24"/>
          <w:lang w:val="pt-PT"/>
        </w:rPr>
        <w:t>ou</w:t>
      </w:r>
      <w:r w:rsidRPr="006C5DEB">
        <w:rPr>
          <w:rStyle w:val="Nenhuma"/>
          <w:rFonts w:ascii="Times New Roman" w:hAnsi="Times New Roman"/>
          <w:sz w:val="24"/>
          <w:szCs w:val="24"/>
          <w:lang w:val="pt-PT"/>
        </w:rPr>
        <w:t xml:space="preserve"> 93 casos de infracção de taxistas, um decréscimo de 96,9%, representando uma descida de 2.901 casos em comparação com o período homólogo do ano passado. De entre estes, 3 casos foram de cobrança excessiva (uma descida de 99,8%), 27 de recusa de tomada de passageiros (uma descida de 95,6%), as outras infracções somaram 63 casos (uma descida de 87%). Para além disso, a Polícia efectuou 47 autuações de prestação de serviço de transporte ilegal, significando uma descida de 52,5%, em comparação com o período homólogo. A partir do mês de Agosto do corrente ano, os táxis começaram a instalar o sistema de terminal inteligente no veículo, o que ajuda a evitar disputas desnecessárias entre o taxista e o passageiro, por outro lado, faculta fundamentos à execução da lei por parte da Polícia. Segundo as normas, todos os táxis de Macau têm de estar equipados com este sistema de terminal inteligente até</w:t>
      </w:r>
      <w:r w:rsidR="00255363" w:rsidRPr="006C5DEB">
        <w:rPr>
          <w:rStyle w:val="Nenhuma"/>
          <w:rFonts w:ascii="Times New Roman" w:hAnsi="Times New Roman"/>
          <w:sz w:val="24"/>
          <w:szCs w:val="24"/>
          <w:lang w:val="pt-PT"/>
        </w:rPr>
        <w:t xml:space="preserve"> </w:t>
      </w:r>
      <w:r w:rsidRPr="006C5DEB">
        <w:rPr>
          <w:rStyle w:val="Nenhuma"/>
          <w:rFonts w:ascii="Times New Roman" w:hAnsi="Times New Roman"/>
          <w:sz w:val="24"/>
          <w:szCs w:val="24"/>
          <w:lang w:val="pt-PT"/>
        </w:rPr>
        <w:t>3 de Dezembro deste ano, esperando-se que nessa altura os casos de infracção possam se</w:t>
      </w:r>
      <w:r w:rsidR="00255363" w:rsidRPr="006C5DEB">
        <w:rPr>
          <w:rStyle w:val="Nenhuma"/>
          <w:rFonts w:ascii="Times New Roman" w:hAnsi="Times New Roman"/>
          <w:sz w:val="24"/>
          <w:szCs w:val="24"/>
          <w:lang w:val="pt-PT"/>
        </w:rPr>
        <w:t>r reduzidos significativamente.</w:t>
      </w:r>
      <w:r w:rsidRPr="006C5DEB">
        <w:rPr>
          <w:rStyle w:val="Nenhuma"/>
          <w:rFonts w:ascii="Times New Roman" w:hAnsi="Times New Roman"/>
          <w:sz w:val="24"/>
          <w:szCs w:val="24"/>
          <w:lang w:val="pt-PT"/>
        </w:rPr>
        <w:t xml:space="preserve"> No futuro, a Polícia continua a proceder a uma fiscalização rigorosa, bem como a cooperar estreitamente com os serviços de gestão de tráfego, salvaguardando a segurança e as facilidades de deslocação da população.</w:t>
      </w:r>
    </w:p>
    <w:p w:rsidR="00EC0FA0" w:rsidRPr="006A2347" w:rsidRDefault="00EC0FA0" w:rsidP="006A2347">
      <w:pPr>
        <w:pStyle w:val="a5"/>
        <w:spacing w:after="0" w:line="240" w:lineRule="auto"/>
        <w:ind w:left="992"/>
        <w:jc w:val="both"/>
      </w:pPr>
    </w:p>
    <w:p w:rsidR="006A2347" w:rsidRDefault="006A2347">
      <w:pPr>
        <w:rPr>
          <w:rStyle w:val="Nenhuma"/>
          <w:rFonts w:eastAsia="Arial Unicode MS" w:cs="Arial Unicode MS"/>
          <w:b/>
          <w:bCs/>
          <w:color w:val="000000"/>
          <w:u w:color="000000"/>
          <w:lang w:val="pt-PT" w:eastAsia="zh-TW"/>
        </w:rPr>
      </w:pPr>
      <w:r>
        <w:rPr>
          <w:rStyle w:val="Nenhuma"/>
          <w:b/>
          <w:bCs/>
          <w:lang w:val="pt-PT"/>
        </w:rPr>
        <w:br w:type="page"/>
      </w:r>
    </w:p>
    <w:p w:rsidR="00EC0FA0" w:rsidRPr="006C5DEB" w:rsidRDefault="009B236C">
      <w:pPr>
        <w:pStyle w:val="a5"/>
        <w:numPr>
          <w:ilvl w:val="0"/>
          <w:numId w:val="5"/>
        </w:numPr>
        <w:jc w:val="both"/>
        <w:rPr>
          <w:rFonts w:ascii="Times New Roman" w:hAnsi="Times New Roman"/>
          <w:b/>
          <w:bCs/>
          <w:sz w:val="24"/>
          <w:szCs w:val="24"/>
          <w:lang w:val="pt-PT"/>
        </w:rPr>
      </w:pPr>
      <w:r w:rsidRPr="006C5DEB">
        <w:rPr>
          <w:rStyle w:val="Nenhuma"/>
          <w:rFonts w:ascii="Times New Roman" w:hAnsi="Times New Roman"/>
          <w:b/>
          <w:bCs/>
          <w:sz w:val="24"/>
          <w:szCs w:val="24"/>
          <w:lang w:val="pt-PT"/>
        </w:rPr>
        <w:lastRenderedPageBreak/>
        <w:t>Conclusão:</w:t>
      </w:r>
    </w:p>
    <w:p w:rsidR="00EC0FA0" w:rsidRDefault="009B236C">
      <w:pPr>
        <w:pStyle w:val="a5"/>
        <w:numPr>
          <w:ilvl w:val="0"/>
          <w:numId w:val="7"/>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Resumindo as estatísticas da criminalidade e dos trabalhos de execução da lei entre os meses de Janeiro e Setembro de 2020, devido ao impacto da situação epidémica e do reforço das inspecções policiais, constata-se uma descida em geral dos crimes em Macau, pelo que consideramos que a situação geral de segurança se apresentou como boa. Claro que, à medida que Macau alivia as restrições de entrada, o número de turistas poderá aumentar gradualmente, trazendo factores indeterminados</w:t>
      </w:r>
      <w:r w:rsidR="00A24A79" w:rsidRPr="006C5DEB">
        <w:rPr>
          <w:rStyle w:val="Nenhuma"/>
          <w:rFonts w:ascii="Times New Roman" w:hAnsi="Times New Roman"/>
          <w:sz w:val="24"/>
          <w:szCs w:val="24"/>
          <w:lang w:val="pt-PT"/>
        </w:rPr>
        <w:t>,</w:t>
      </w:r>
      <w:r w:rsidRPr="006C5DEB">
        <w:rPr>
          <w:rStyle w:val="Nenhuma"/>
          <w:rFonts w:ascii="Times New Roman" w:hAnsi="Times New Roman"/>
          <w:sz w:val="24"/>
          <w:szCs w:val="24"/>
          <w:lang w:val="pt-PT"/>
        </w:rPr>
        <w:t xml:space="preserve"> pelo que a Polícia vem antecipando estratégias e irá ajustar atempadamente o di</w:t>
      </w:r>
      <w:r w:rsidR="00E4609A" w:rsidRPr="006C5DEB">
        <w:rPr>
          <w:rStyle w:val="Nenhuma"/>
          <w:rFonts w:ascii="Times New Roman" w:hAnsi="Times New Roman"/>
          <w:sz w:val="24"/>
          <w:szCs w:val="24"/>
          <w:lang w:val="pt-PT"/>
        </w:rPr>
        <w:t xml:space="preserve">spositivo policial conforme as </w:t>
      </w:r>
      <w:r w:rsidRPr="006C5DEB">
        <w:rPr>
          <w:rStyle w:val="Nenhuma"/>
          <w:rFonts w:ascii="Times New Roman" w:hAnsi="Times New Roman"/>
          <w:sz w:val="24"/>
          <w:szCs w:val="24"/>
          <w:lang w:val="pt-PT"/>
        </w:rPr>
        <w:t>mudanç</w:t>
      </w:r>
      <w:r w:rsidR="00F90BE1" w:rsidRPr="006C5DEB">
        <w:rPr>
          <w:rStyle w:val="Nenhuma"/>
          <w:rFonts w:ascii="Times New Roman" w:hAnsi="Times New Roman"/>
          <w:sz w:val="24"/>
          <w:szCs w:val="24"/>
          <w:lang w:val="pt-PT"/>
        </w:rPr>
        <w:t>as</w:t>
      </w:r>
      <w:r w:rsidRPr="006C5DEB">
        <w:rPr>
          <w:rStyle w:val="Nenhuma"/>
          <w:rFonts w:ascii="Times New Roman" w:hAnsi="Times New Roman"/>
          <w:sz w:val="24"/>
          <w:szCs w:val="24"/>
          <w:lang w:val="pt-PT"/>
        </w:rPr>
        <w:t xml:space="preserve"> que sobrevierem.</w:t>
      </w:r>
    </w:p>
    <w:p w:rsidR="00EC0FA0" w:rsidRDefault="009B236C">
      <w:pPr>
        <w:pStyle w:val="a5"/>
        <w:numPr>
          <w:ilvl w:val="0"/>
          <w:numId w:val="7"/>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 xml:space="preserve">Nos primeiros três trimestres de 2020 registaram-se um total de 2 casos de homicídio, todos ocorridos na primeira metade do ano. Um dos casos ocorreu no dia 19 de Janeiro, uma mulher do </w:t>
      </w:r>
      <w:r w:rsidR="003A64BF" w:rsidRPr="006C5DEB">
        <w:rPr>
          <w:rStyle w:val="Nenhuma"/>
          <w:rFonts w:ascii="Times New Roman" w:hAnsi="Times New Roman"/>
          <w:sz w:val="24"/>
          <w:szCs w:val="24"/>
          <w:lang w:val="pt-PT"/>
        </w:rPr>
        <w:t xml:space="preserve">Interior </w:t>
      </w:r>
      <w:r w:rsidRPr="006C5DEB">
        <w:rPr>
          <w:rStyle w:val="Nenhuma"/>
          <w:rFonts w:ascii="Times New Roman" w:hAnsi="Times New Roman"/>
          <w:sz w:val="24"/>
          <w:szCs w:val="24"/>
          <w:lang w:val="pt-PT"/>
        </w:rPr>
        <w:t xml:space="preserve">da China atacou os familiares do seu ex-namorado com uma faca, por problemas passionais, causando uma vítima mortal e dois feridos; outro caso ocorreu no dia 20 de Abril, um homem de Macau matou a sua mulher, por problemas familiares. Embora os dois casos tenham sido resolvidos rapidamente, a questão da ética familiar e a insegurança individual demonstrada nestes casos merecem a atenção e é motivo de alerta para toda a sociedade. A Polícia vai continuar a reforçar o contacto com as associações e associações de moradores, aperfeiçoar e aprofundar o “Mecanismo de Ligação de Policiamento Comunitário”, para poder descobrir, de forma mais activa, o indício da prática deste tipo de actos; além disso, apela-se ao público para estar atento </w:t>
      </w:r>
      <w:r w:rsidR="00507F8F" w:rsidRPr="006C5DEB">
        <w:rPr>
          <w:rStyle w:val="Nenhuma"/>
          <w:rFonts w:ascii="Times New Roman" w:hAnsi="Times New Roman"/>
          <w:sz w:val="24"/>
          <w:szCs w:val="24"/>
          <w:lang w:val="pt-PT"/>
        </w:rPr>
        <w:t>à</w:t>
      </w:r>
      <w:r w:rsidRPr="006C5DEB">
        <w:rPr>
          <w:rStyle w:val="Nenhuma"/>
          <w:rFonts w:ascii="Times New Roman" w:hAnsi="Times New Roman"/>
          <w:sz w:val="24"/>
          <w:szCs w:val="24"/>
          <w:lang w:val="pt-PT"/>
        </w:rPr>
        <w:t xml:space="preserve"> sua própria segurança e resolver adequadamente os problemas familiares, estando sempre sensível </w:t>
      </w:r>
      <w:r w:rsidR="00B92862" w:rsidRPr="006C5DEB">
        <w:rPr>
          <w:rStyle w:val="Nenhuma"/>
          <w:rFonts w:ascii="Times New Roman" w:hAnsi="Times New Roman"/>
          <w:sz w:val="24"/>
          <w:szCs w:val="24"/>
          <w:lang w:val="pt-PT"/>
        </w:rPr>
        <w:t xml:space="preserve">às </w:t>
      </w:r>
      <w:r w:rsidRPr="006C5DEB">
        <w:rPr>
          <w:rStyle w:val="Nenhuma"/>
          <w:rFonts w:ascii="Times New Roman" w:hAnsi="Times New Roman"/>
          <w:sz w:val="24"/>
          <w:szCs w:val="24"/>
          <w:lang w:val="pt-PT"/>
        </w:rPr>
        <w:t xml:space="preserve">situações anómalas, caso tenham indícios de qualquer acto de violência doméstica ou outras situações de perigo, deve denunciar imediatamente o caso à Polícia, para que esta possa intervir em tempo oportuno. </w:t>
      </w:r>
    </w:p>
    <w:p w:rsidR="00EC0FA0" w:rsidRDefault="009B236C">
      <w:pPr>
        <w:pStyle w:val="a5"/>
        <w:numPr>
          <w:ilvl w:val="0"/>
          <w:numId w:val="7"/>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 xml:space="preserve">Nos primeiros nove meses, o número dos casos de “violação” e “importunação sexual” registaram uma descida significativa, mas os casos referentes ao “abuso sexual de crianças” e à “pornografia de menor” aumentaram. Segundos os dados, a maioria dos casos de “abuso sexual de crianças” ocorrem nas escolas ou no ambiente familiar, a maior parte dos autores são familiares, colegas ou professores da vítima, além disso, as vítimas com idade mais velha tinham relações sexuais por vontade própria. Perante esta situação, a Polícia para além de continuar a combater este tipo de crime, vai articular-se totalmente com os serviços competentes, entrando na comunidade e nas escolas para realizar as acções de divulgação educacional, incentivar os pais e os docentes a estarem mais atentos </w:t>
      </w:r>
      <w:r w:rsidR="005C7FBF" w:rsidRPr="006C5DEB">
        <w:rPr>
          <w:rStyle w:val="Nenhuma"/>
          <w:rFonts w:ascii="Times New Roman" w:hAnsi="Times New Roman"/>
          <w:sz w:val="24"/>
          <w:szCs w:val="24"/>
          <w:lang w:val="pt-PT"/>
        </w:rPr>
        <w:t>à</w:t>
      </w:r>
      <w:r w:rsidRPr="006C5DEB">
        <w:rPr>
          <w:rStyle w:val="Nenhuma"/>
          <w:rFonts w:ascii="Times New Roman" w:hAnsi="Times New Roman"/>
          <w:sz w:val="24"/>
          <w:szCs w:val="24"/>
          <w:lang w:val="pt-PT"/>
        </w:rPr>
        <w:t>s mudanças de comportamento e sinais psicológicos dos jov</w:t>
      </w:r>
      <w:r w:rsidR="003A5A04" w:rsidRPr="006C5DEB">
        <w:rPr>
          <w:rStyle w:val="Nenhuma"/>
          <w:rFonts w:ascii="Times New Roman" w:hAnsi="Times New Roman"/>
          <w:sz w:val="24"/>
          <w:szCs w:val="24"/>
          <w:lang w:val="pt-PT"/>
        </w:rPr>
        <w:t xml:space="preserve">ens e, ao mesmo tempo, incutir </w:t>
      </w:r>
      <w:r w:rsidRPr="006C5DEB">
        <w:rPr>
          <w:rStyle w:val="Nenhuma"/>
          <w:rFonts w:ascii="Times New Roman" w:hAnsi="Times New Roman"/>
          <w:sz w:val="24"/>
          <w:szCs w:val="24"/>
          <w:lang w:val="pt-PT"/>
        </w:rPr>
        <w:t>conhecimentos de prevenção de abuso sexual e outros que favoreç</w:t>
      </w:r>
      <w:r w:rsidR="00D77E8F" w:rsidRPr="006C5DEB">
        <w:rPr>
          <w:rStyle w:val="Nenhuma"/>
          <w:rFonts w:ascii="Times New Roman" w:hAnsi="Times New Roman"/>
          <w:sz w:val="24"/>
          <w:szCs w:val="24"/>
          <w:lang w:val="pt-PT"/>
        </w:rPr>
        <w:t>am o sentido</w:t>
      </w:r>
      <w:r w:rsidRPr="006C5DEB">
        <w:rPr>
          <w:rStyle w:val="Nenhuma"/>
          <w:rFonts w:ascii="Times New Roman" w:hAnsi="Times New Roman"/>
          <w:sz w:val="24"/>
          <w:szCs w:val="24"/>
          <w:lang w:val="pt-PT"/>
        </w:rPr>
        <w:t xml:space="preserve"> de autoprotecção junto dos menores. Entre os meses de Janeiro e Outubro</w:t>
      </w:r>
      <w:r w:rsidR="00761003" w:rsidRPr="006C5DEB">
        <w:rPr>
          <w:rStyle w:val="Nenhuma"/>
          <w:rFonts w:ascii="Times New Roman" w:hAnsi="Times New Roman"/>
          <w:sz w:val="24"/>
          <w:szCs w:val="24"/>
          <w:lang w:val="pt-PT"/>
        </w:rPr>
        <w:t xml:space="preserve"> do corrente ano</w:t>
      </w:r>
      <w:r w:rsidRPr="006C5DEB">
        <w:rPr>
          <w:rStyle w:val="Nenhuma"/>
          <w:rFonts w:ascii="Times New Roman" w:hAnsi="Times New Roman"/>
          <w:sz w:val="24"/>
          <w:szCs w:val="24"/>
          <w:lang w:val="pt-PT"/>
        </w:rPr>
        <w:t>, a Polícia enviou pessoal às escolas e realizou 22 palestras temáticas sobre “Prevenção de abuso sexual e os meios para pedir ajuda”, contando com a participação de 1.827 estudantes, pais e docentes.</w:t>
      </w:r>
    </w:p>
    <w:p w:rsidR="00EC0FA0" w:rsidRDefault="009B236C">
      <w:pPr>
        <w:pStyle w:val="a5"/>
        <w:numPr>
          <w:ilvl w:val="0"/>
          <w:numId w:val="7"/>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lastRenderedPageBreak/>
        <w:t>O número dos casos referentes à “pornografia de menor” também regist</w:t>
      </w:r>
      <w:r w:rsidR="00A057FF" w:rsidRPr="006C5DEB">
        <w:rPr>
          <w:rStyle w:val="Nenhuma"/>
          <w:rFonts w:ascii="Times New Roman" w:hAnsi="Times New Roman"/>
          <w:sz w:val="24"/>
          <w:szCs w:val="24"/>
          <w:lang w:val="pt-PT"/>
        </w:rPr>
        <w:t>ou</w:t>
      </w:r>
      <w:r w:rsidR="00525551" w:rsidRPr="006C5DEB">
        <w:rPr>
          <w:rStyle w:val="Nenhuma"/>
          <w:rFonts w:ascii="Times New Roman" w:hAnsi="Times New Roman"/>
          <w:sz w:val="24"/>
          <w:szCs w:val="24"/>
          <w:lang w:val="pt-PT"/>
        </w:rPr>
        <w:t xml:space="preserve"> um</w:t>
      </w:r>
      <w:r w:rsidRPr="006C5DEB">
        <w:rPr>
          <w:rStyle w:val="Nenhuma"/>
          <w:rFonts w:ascii="Times New Roman" w:hAnsi="Times New Roman"/>
          <w:sz w:val="24"/>
          <w:szCs w:val="24"/>
          <w:lang w:val="pt-PT"/>
        </w:rPr>
        <w:t xml:space="preserve"> aumento. Os arguidos utilizam as plataformas ou aplicações de comunicação para enviar as pornografias ou vídeos sexuais de menores, obtidas através do </w:t>
      </w:r>
      <w:r w:rsidRPr="006C5DEB">
        <w:rPr>
          <w:rStyle w:val="Nenhuma"/>
          <w:rFonts w:ascii="Times New Roman" w:hAnsi="Times New Roman"/>
          <w:i/>
          <w:iCs/>
          <w:sz w:val="24"/>
          <w:szCs w:val="24"/>
          <w:lang w:val="pt-PT"/>
        </w:rPr>
        <w:t>download</w:t>
      </w:r>
      <w:r w:rsidRPr="006C5DEB">
        <w:rPr>
          <w:rStyle w:val="Nenhuma"/>
          <w:rFonts w:ascii="Times New Roman" w:hAnsi="Times New Roman"/>
          <w:sz w:val="24"/>
          <w:szCs w:val="24"/>
          <w:lang w:val="pt-PT"/>
        </w:rPr>
        <w:t xml:space="preserve">, dado que </w:t>
      </w:r>
      <w:r w:rsidR="00F838B3" w:rsidRPr="006C5DEB">
        <w:rPr>
          <w:rStyle w:val="Nenhuma"/>
          <w:rFonts w:ascii="Times New Roman" w:hAnsi="Times New Roman"/>
          <w:sz w:val="24"/>
          <w:szCs w:val="24"/>
          <w:lang w:val="pt-PT"/>
        </w:rPr>
        <w:t xml:space="preserve">o </w:t>
      </w:r>
      <w:r w:rsidR="00F838B3" w:rsidRPr="006C5DEB">
        <w:rPr>
          <w:rStyle w:val="Nenhuma"/>
          <w:rFonts w:ascii="Times New Roman" w:hAnsi="Times New Roman"/>
          <w:i/>
          <w:sz w:val="24"/>
          <w:szCs w:val="24"/>
          <w:lang w:val="pt-PT"/>
        </w:rPr>
        <w:t>IP</w:t>
      </w:r>
      <w:r w:rsidRPr="006C5DEB">
        <w:rPr>
          <w:rStyle w:val="Nenhuma"/>
          <w:rFonts w:ascii="Times New Roman" w:hAnsi="Times New Roman"/>
          <w:i/>
          <w:iCs/>
          <w:sz w:val="24"/>
          <w:szCs w:val="24"/>
          <w:lang w:val="pt-PT"/>
        </w:rPr>
        <w:t xml:space="preserve"> Address</w:t>
      </w:r>
      <w:r w:rsidRPr="006C5DEB">
        <w:rPr>
          <w:rStyle w:val="Nenhuma"/>
          <w:rFonts w:ascii="Times New Roman" w:hAnsi="Times New Roman"/>
          <w:sz w:val="24"/>
          <w:szCs w:val="24"/>
          <w:lang w:val="pt-PT"/>
        </w:rPr>
        <w:t xml:space="preserve"> dos servidores dessas plataformas ou aplicações situam-se fora de Macau, este tipo de casos são difíceis de serem descobertas e detectadas. Perante esta situação, no corrente ano, a Polícia tem reforçado a troca de informações com a Interpol e estabeleceu mecanismos de cooperação e plataformas de informações com vários países e regiões, obtendo inúmeras pistas e informações, o que permitiu a resolução deste tipo de crimes. Através dos mecanismos acima referidos e de medidas de investigação eficazes, nos primeiros três trimestres deste ano, a Polícia resolveu no total de 59 casos de “pornografia de menor”, foram presentes 29 suspeitos ao Ministério Público para efeitos de averiguação. Segundo as investigações, a maioria dos suspeitos destes casos são trabalhadores não residentes de Macau, muitos deles desconhecem que a sua prática violou a lei penal. Assim, a Polícia divulgou informações sobre a resolução destes casos através da comunicação social tradicional e das novas médias, entre outros meios, lançando os conteúdos das acções de divulgação em várias línguas, por forma a reforç</w:t>
      </w:r>
      <w:r w:rsidR="00BA1362" w:rsidRPr="006C5DEB">
        <w:rPr>
          <w:rStyle w:val="Nenhuma"/>
          <w:rFonts w:ascii="Times New Roman" w:hAnsi="Times New Roman"/>
          <w:sz w:val="24"/>
          <w:szCs w:val="24"/>
          <w:lang w:val="pt-PT"/>
        </w:rPr>
        <w:t>ar o</w:t>
      </w:r>
      <w:r w:rsidRPr="006C5DEB">
        <w:rPr>
          <w:rStyle w:val="Nenhuma"/>
          <w:rFonts w:ascii="Times New Roman" w:hAnsi="Times New Roman"/>
          <w:sz w:val="24"/>
          <w:szCs w:val="24"/>
          <w:lang w:val="pt-PT"/>
        </w:rPr>
        <w:t xml:space="preserve"> conhecimento jurídico das diferentes das pessoas de diversas origens presentes em Macau, a fim de que evitem cair nas malhas da justiça.</w:t>
      </w:r>
    </w:p>
    <w:p w:rsidR="00442B0D" w:rsidRPr="00442B0D" w:rsidRDefault="009B236C" w:rsidP="00442B0D">
      <w:pPr>
        <w:pStyle w:val="a5"/>
        <w:numPr>
          <w:ilvl w:val="0"/>
          <w:numId w:val="7"/>
        </w:numPr>
        <w:jc w:val="both"/>
        <w:rPr>
          <w:rFonts w:ascii="Times New Roman" w:hAnsi="Times New Roman"/>
          <w:sz w:val="24"/>
          <w:szCs w:val="24"/>
          <w:lang w:val="pt-PT"/>
        </w:rPr>
      </w:pPr>
      <w:r w:rsidRPr="006C5DEB">
        <w:rPr>
          <w:rStyle w:val="Nenhuma"/>
          <w:rFonts w:ascii="Times New Roman" w:hAnsi="Times New Roman"/>
          <w:sz w:val="24"/>
          <w:szCs w:val="24"/>
          <w:lang w:val="pt-PT"/>
        </w:rPr>
        <w:t xml:space="preserve">Nos primeiros nove meses, foram registados, no total, 23 casos de fogo posto, representando uma descida de 39,5% e de 15 casos, comparando com o período homólogo do ano passado, entre os quais 13 casos foram resolvidos, sendo </w:t>
      </w:r>
      <w:r w:rsidR="00990FFA" w:rsidRPr="006C5DEB">
        <w:rPr>
          <w:rStyle w:val="Nenhuma"/>
          <w:rFonts w:ascii="Times New Roman" w:hAnsi="Times New Roman"/>
          <w:sz w:val="24"/>
          <w:szCs w:val="24"/>
          <w:lang w:val="pt-PT"/>
        </w:rPr>
        <w:t>que</w:t>
      </w:r>
      <w:r w:rsidRPr="006C5DEB">
        <w:rPr>
          <w:rStyle w:val="Nenhuma"/>
          <w:rFonts w:ascii="Times New Roman" w:hAnsi="Times New Roman"/>
          <w:sz w:val="24"/>
          <w:szCs w:val="24"/>
          <w:lang w:val="pt-PT"/>
        </w:rPr>
        <w:t xml:space="preserve"> a principal causa destes incê</w:t>
      </w:r>
      <w:r w:rsidR="00990FFA" w:rsidRPr="006C5DEB">
        <w:rPr>
          <w:rStyle w:val="Nenhuma"/>
          <w:rFonts w:ascii="Times New Roman" w:hAnsi="Times New Roman"/>
          <w:sz w:val="24"/>
          <w:szCs w:val="24"/>
          <w:lang w:val="pt-PT"/>
        </w:rPr>
        <w:t>ndios sã</w:t>
      </w:r>
      <w:r w:rsidRPr="006C5DEB">
        <w:rPr>
          <w:rStyle w:val="Nenhuma"/>
          <w:rFonts w:ascii="Times New Roman" w:hAnsi="Times New Roman"/>
          <w:sz w:val="24"/>
          <w:szCs w:val="24"/>
          <w:lang w:val="pt-PT"/>
        </w:rPr>
        <w:t xml:space="preserve">o </w:t>
      </w:r>
      <w:r w:rsidR="0049686C" w:rsidRPr="006C5DEB">
        <w:rPr>
          <w:rStyle w:val="Nenhuma"/>
          <w:rFonts w:ascii="Times New Roman" w:hAnsi="Times New Roman"/>
          <w:sz w:val="24"/>
          <w:szCs w:val="24"/>
          <w:lang w:val="pt-PT"/>
        </w:rPr>
        <w:t xml:space="preserve">as pontas de cigarro </w:t>
      </w:r>
      <w:r w:rsidRPr="006C5DEB">
        <w:rPr>
          <w:rStyle w:val="Nenhuma"/>
          <w:rFonts w:ascii="Times New Roman" w:hAnsi="Times New Roman"/>
          <w:sz w:val="24"/>
          <w:szCs w:val="24"/>
          <w:lang w:val="pt-PT"/>
        </w:rPr>
        <w:t>deixadas em lugar inapropriado. Para reforçar a consciência de contra incêndios do público, o CB realizou nos primeiros três trim</w:t>
      </w:r>
      <w:r w:rsidR="00B51B48" w:rsidRPr="006C5DEB">
        <w:rPr>
          <w:rStyle w:val="Nenhuma"/>
          <w:rFonts w:ascii="Times New Roman" w:hAnsi="Times New Roman"/>
          <w:sz w:val="24"/>
          <w:szCs w:val="24"/>
          <w:lang w:val="pt-PT"/>
        </w:rPr>
        <w:t xml:space="preserve">estres deste ano, 36 palestras </w:t>
      </w:r>
      <w:r w:rsidRPr="006C5DEB">
        <w:rPr>
          <w:rStyle w:val="Nenhuma"/>
          <w:rFonts w:ascii="Times New Roman" w:hAnsi="Times New Roman"/>
          <w:sz w:val="24"/>
          <w:szCs w:val="24"/>
          <w:lang w:val="pt-PT"/>
        </w:rPr>
        <w:t xml:space="preserve">sobre o conhecimento de segurança contra incêndios, iniciativa que contou com mais de 2.252 participantes. Para além disso, o CB reforçou as inspecções contra incêndios nas comunidades e </w:t>
      </w:r>
      <w:r w:rsidR="00916BF6" w:rsidRPr="006C5DEB">
        <w:rPr>
          <w:rStyle w:val="Nenhuma"/>
          <w:rFonts w:ascii="Times New Roman" w:hAnsi="Times New Roman"/>
          <w:sz w:val="24"/>
          <w:szCs w:val="24"/>
          <w:lang w:val="pt-PT"/>
        </w:rPr>
        <w:t xml:space="preserve">nos </w:t>
      </w:r>
      <w:r w:rsidRPr="006C5DEB">
        <w:rPr>
          <w:rStyle w:val="Nenhuma"/>
          <w:rFonts w:ascii="Times New Roman" w:hAnsi="Times New Roman"/>
          <w:sz w:val="24"/>
          <w:szCs w:val="24"/>
          <w:lang w:val="pt-PT"/>
        </w:rPr>
        <w:t xml:space="preserve">edifícios, entre outros locais públicos, bem como cooperou com as associações comunitárias para proceder constantemente à vistoria dos equipamentos de fogão de gás em domicílio e explicar aos proprietários os conhecimentos de contra incêndios. A </w:t>
      </w:r>
      <w:r w:rsidR="00B0484E"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 xml:space="preserve">enfatiza repetidamente, por meio de vários canais, como páginas de plataformas de </w:t>
      </w:r>
      <w:r w:rsidRPr="006C5DEB">
        <w:rPr>
          <w:rStyle w:val="Nenhuma"/>
          <w:rFonts w:ascii="Times New Roman" w:hAnsi="Times New Roman"/>
          <w:i/>
          <w:sz w:val="24"/>
          <w:szCs w:val="24"/>
          <w:lang w:val="pt-PT"/>
        </w:rPr>
        <w:t>internet</w:t>
      </w:r>
      <w:r w:rsidRPr="006C5DEB">
        <w:rPr>
          <w:rStyle w:val="Nenhuma"/>
          <w:rFonts w:ascii="Times New Roman" w:hAnsi="Times New Roman"/>
          <w:sz w:val="24"/>
          <w:szCs w:val="24"/>
          <w:lang w:val="pt-PT"/>
        </w:rPr>
        <w:t xml:space="preserve"> e contas oficiais de </w:t>
      </w:r>
      <w:r w:rsidRPr="006C5DEB">
        <w:rPr>
          <w:rStyle w:val="Nenhuma"/>
          <w:rFonts w:ascii="Times New Roman" w:hAnsi="Times New Roman"/>
          <w:i/>
          <w:iCs/>
          <w:sz w:val="24"/>
          <w:szCs w:val="24"/>
          <w:lang w:val="pt-PT"/>
        </w:rPr>
        <w:t>software</w:t>
      </w:r>
      <w:r w:rsidRPr="006C5DEB">
        <w:rPr>
          <w:rStyle w:val="Nenhuma"/>
          <w:rFonts w:ascii="Times New Roman" w:hAnsi="Times New Roman"/>
          <w:sz w:val="24"/>
          <w:szCs w:val="24"/>
          <w:lang w:val="pt-PT"/>
        </w:rPr>
        <w:t xml:space="preserve"> social, que o incêndio causado por negligência também origina responsabilidade criminal.</w:t>
      </w:r>
    </w:p>
    <w:p w:rsidR="00EC0FA0" w:rsidRDefault="009B236C">
      <w:pPr>
        <w:pStyle w:val="a5"/>
        <w:numPr>
          <w:ilvl w:val="0"/>
          <w:numId w:val="7"/>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 xml:space="preserve">Desde o início deste ano, a pneumonia causada por novo tipo de coronavírus tem-se dispersado pelo mundo. O </w:t>
      </w:r>
      <w:r w:rsidR="00AB21CD" w:rsidRPr="006C5DEB">
        <w:rPr>
          <w:rStyle w:val="Nenhuma"/>
          <w:rFonts w:ascii="Times New Roman" w:hAnsi="Times New Roman"/>
          <w:sz w:val="24"/>
          <w:szCs w:val="24"/>
          <w:lang w:val="pt-PT"/>
        </w:rPr>
        <w:t xml:space="preserve">Governo </w:t>
      </w:r>
      <w:r w:rsidRPr="006C5DEB">
        <w:rPr>
          <w:rStyle w:val="Nenhuma"/>
          <w:rFonts w:ascii="Times New Roman" w:hAnsi="Times New Roman"/>
          <w:sz w:val="24"/>
          <w:szCs w:val="24"/>
          <w:lang w:val="pt-PT"/>
        </w:rPr>
        <w:t xml:space="preserve">da RAEM aplicou uma série de medidas de resposta eficazes e todos os sectores da sociedade também cooperaram plenamente para interromper rapidamente a propagação da epidemia. No entanto, alguns delinquentes aproveitaram a oportunidade para obter lucros ilegais, burlando em nome da venda de materiais médicos, designadamente pela </w:t>
      </w:r>
      <w:r w:rsidRPr="006C5DEB">
        <w:rPr>
          <w:rStyle w:val="Nenhuma"/>
          <w:rFonts w:ascii="Times New Roman" w:hAnsi="Times New Roman"/>
          <w:i/>
          <w:sz w:val="24"/>
          <w:szCs w:val="24"/>
          <w:lang w:val="pt-PT"/>
        </w:rPr>
        <w:t>internet</w:t>
      </w:r>
      <w:r w:rsidRPr="006C5DEB">
        <w:rPr>
          <w:rStyle w:val="Nenhuma"/>
          <w:rFonts w:ascii="Times New Roman" w:hAnsi="Times New Roman"/>
          <w:sz w:val="24"/>
          <w:szCs w:val="24"/>
          <w:lang w:val="pt-PT"/>
        </w:rPr>
        <w:t xml:space="preserve">, entre outros meios, ou usando ilegalmente documentos de identidade de outras pessoas para comprar materiais médicos e depois revendê-los. Assim sendo, a </w:t>
      </w:r>
      <w:r w:rsidR="00EC55DA"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 xml:space="preserve">reforçou as inspecções e as acções de combate, bem como emitiu 29 </w:t>
      </w:r>
      <w:r w:rsidRPr="006C5DEB">
        <w:rPr>
          <w:rStyle w:val="Nenhuma"/>
          <w:rFonts w:ascii="Times New Roman" w:hAnsi="Times New Roman"/>
          <w:sz w:val="24"/>
          <w:szCs w:val="24"/>
          <w:lang w:val="pt-PT"/>
        </w:rPr>
        <w:lastRenderedPageBreak/>
        <w:t xml:space="preserve">informações policiais, apelando aos cidadãos e empresários para não comprarem materiais médicos de fontes desconhecidas e aguardarem bem os seus documentos e informações pessoais mais relevantes para evitar que os mesmos sejam usados por delinquentes. Por meio das medidas acima referidas, o número de casos relacionados reduziu significativamente. Nos primeiros três trimestres deste ano, foram registados 53 casos de “uso de documento de identificação alheio” para a compra de máscaras e </w:t>
      </w:r>
      <w:r w:rsidR="00DC43D9" w:rsidRPr="006C5DEB">
        <w:rPr>
          <w:rStyle w:val="Nenhuma"/>
          <w:rFonts w:ascii="Times New Roman" w:hAnsi="Times New Roman"/>
          <w:sz w:val="24"/>
          <w:szCs w:val="24"/>
          <w:lang w:val="pt-PT"/>
        </w:rPr>
        <w:t>40 casos de burla para a compra</w:t>
      </w:r>
      <w:r w:rsidRPr="006C5DEB">
        <w:rPr>
          <w:rStyle w:val="Nenhuma"/>
          <w:rFonts w:ascii="Times New Roman" w:hAnsi="Times New Roman"/>
          <w:sz w:val="24"/>
          <w:szCs w:val="24"/>
          <w:lang w:val="pt-PT"/>
        </w:rPr>
        <w:t xml:space="preserve"> de materiais médicos, entre os quais no 3.º trimestre, foram registados 3 e 4 casos, respectivamente, ocupando uma percentagem de 5,7% e 10% dos casos totais.</w:t>
      </w:r>
    </w:p>
    <w:p w:rsidR="00EC0FA0" w:rsidRDefault="009B236C">
      <w:pPr>
        <w:pStyle w:val="a5"/>
        <w:numPr>
          <w:ilvl w:val="0"/>
          <w:numId w:val="7"/>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 xml:space="preserve">O “mecanismo de prevenção e combate à migração clandestina” continua a obter efeitos significativos. Nos primeiros três trimestres deste ano, a </w:t>
      </w:r>
      <w:r w:rsidR="00F60D9A"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detectou no total 31 casos de prestação de auxílio para imigração ilegal, representando uma descida de 47,5% e de 28 casos, comparando com o período homólogo do ano passado; foram detidos 40 cabecilhas, menos 52, re</w:t>
      </w:r>
      <w:r w:rsidR="0084522C" w:rsidRPr="006C5DEB">
        <w:rPr>
          <w:rStyle w:val="Nenhuma"/>
          <w:rFonts w:ascii="Times New Roman" w:hAnsi="Times New Roman"/>
          <w:sz w:val="24"/>
          <w:szCs w:val="24"/>
          <w:lang w:val="pt-PT"/>
        </w:rPr>
        <w:t>presentando uma descida de 56,5</w:t>
      </w:r>
      <w:r w:rsidRPr="006C5DEB">
        <w:rPr>
          <w:rStyle w:val="Nenhuma"/>
          <w:rFonts w:ascii="Times New Roman" w:hAnsi="Times New Roman"/>
          <w:sz w:val="24"/>
          <w:szCs w:val="24"/>
          <w:lang w:val="pt-PT"/>
        </w:rPr>
        <w:t xml:space="preserve">%, comparando com o período homólogo do ano passado. Para além disso, nos primeiros nove meses, através do mecanismo de prevenção conjunta, as </w:t>
      </w:r>
      <w:r w:rsidR="00670DA5" w:rsidRPr="006C5DEB">
        <w:rPr>
          <w:rStyle w:val="Nenhuma"/>
          <w:rFonts w:ascii="Times New Roman" w:hAnsi="Times New Roman"/>
          <w:sz w:val="24"/>
          <w:szCs w:val="24"/>
          <w:lang w:val="pt-PT"/>
        </w:rPr>
        <w:t xml:space="preserve">Polícias </w:t>
      </w:r>
      <w:r w:rsidRPr="006C5DEB">
        <w:rPr>
          <w:rStyle w:val="Nenhuma"/>
          <w:rFonts w:ascii="Times New Roman" w:hAnsi="Times New Roman"/>
          <w:sz w:val="24"/>
          <w:szCs w:val="24"/>
          <w:lang w:val="pt-PT"/>
        </w:rPr>
        <w:t xml:space="preserve">de Macau e do Interior da China realizaram 6 operações conjuntas e conseguiram desmantelar 6 associações criminosas que prestavam auxílio para migração ilegal. Segundo com as informações recolhidas, as </w:t>
      </w:r>
      <w:r w:rsidR="00E6557C" w:rsidRPr="006C5DEB">
        <w:rPr>
          <w:rStyle w:val="Nenhuma"/>
          <w:rFonts w:ascii="Times New Roman" w:hAnsi="Times New Roman"/>
          <w:sz w:val="24"/>
          <w:szCs w:val="24"/>
          <w:lang w:val="pt-PT"/>
        </w:rPr>
        <w:t xml:space="preserve">Polícias </w:t>
      </w:r>
      <w:r w:rsidRPr="006C5DEB">
        <w:rPr>
          <w:rStyle w:val="Nenhuma"/>
          <w:rFonts w:ascii="Times New Roman" w:hAnsi="Times New Roman"/>
          <w:sz w:val="24"/>
          <w:szCs w:val="24"/>
          <w:lang w:val="pt-PT"/>
        </w:rPr>
        <w:t xml:space="preserve">de Zhuhai e de Macau realizaram, na noite do dia 25 de Julho do corrente ano, operações conjuntas e desmantelaram um grupo criminoso que prestava auxílio para migração ilegal, tendo sido </w:t>
      </w:r>
      <w:r w:rsidR="0089299B">
        <w:rPr>
          <w:rStyle w:val="Nenhuma"/>
          <w:rFonts w:ascii="Times New Roman" w:hAnsi="Times New Roman"/>
          <w:sz w:val="24"/>
          <w:szCs w:val="24"/>
          <w:lang w:val="pt-PT"/>
        </w:rPr>
        <w:t>detidos 6 dos seus membros</w:t>
      </w:r>
      <w:r w:rsidRPr="006C5DEB">
        <w:rPr>
          <w:rStyle w:val="Nenhuma"/>
          <w:rFonts w:ascii="Times New Roman" w:hAnsi="Times New Roman"/>
          <w:sz w:val="24"/>
          <w:szCs w:val="24"/>
          <w:lang w:val="pt-PT"/>
        </w:rPr>
        <w:t xml:space="preserve">, incluindo o chefe, e 3 imigrantes ilegais; No dia 14 de Outubro, as </w:t>
      </w:r>
      <w:r w:rsidR="004449CB" w:rsidRPr="006C5DEB">
        <w:rPr>
          <w:rStyle w:val="Nenhuma"/>
          <w:rFonts w:ascii="Times New Roman" w:hAnsi="Times New Roman"/>
          <w:sz w:val="24"/>
          <w:szCs w:val="24"/>
          <w:lang w:val="pt-PT"/>
        </w:rPr>
        <w:t xml:space="preserve">Polícias </w:t>
      </w:r>
      <w:r w:rsidRPr="006C5DEB">
        <w:rPr>
          <w:rStyle w:val="Nenhuma"/>
          <w:rFonts w:ascii="Times New Roman" w:hAnsi="Times New Roman"/>
          <w:sz w:val="24"/>
          <w:szCs w:val="24"/>
          <w:lang w:val="pt-PT"/>
        </w:rPr>
        <w:t>dos dois locais voltaram a coopera e desmantelaram um grupo criminoso que prestava auxílio à migração ilegal, tendo sido detidos nos dois locais 3 membros deste grupo, incluindo o chefe e, ainda, 2 imigrantes ilegais.</w:t>
      </w:r>
    </w:p>
    <w:p w:rsidR="00442B0D" w:rsidRPr="00442B0D" w:rsidRDefault="009B236C" w:rsidP="00442B0D">
      <w:pPr>
        <w:pStyle w:val="a5"/>
        <w:numPr>
          <w:ilvl w:val="0"/>
          <w:numId w:val="7"/>
        </w:numPr>
        <w:jc w:val="both"/>
        <w:rPr>
          <w:rFonts w:ascii="Times New Roman" w:hAnsi="Times New Roman"/>
          <w:sz w:val="24"/>
          <w:szCs w:val="24"/>
          <w:lang w:val="pt-PT"/>
        </w:rPr>
      </w:pPr>
      <w:r w:rsidRPr="006C5DEB">
        <w:rPr>
          <w:rStyle w:val="Nenhuma"/>
          <w:rFonts w:ascii="Times New Roman" w:hAnsi="Times New Roman"/>
          <w:sz w:val="24"/>
          <w:szCs w:val="24"/>
          <w:lang w:val="pt-PT"/>
        </w:rPr>
        <w:t>No final de Junho do corrente ano, foi concluída a construção e entrou em funcionamento o sistema de monitorização marítima inteligente. Este sistema recorre a tecnologia de imagem térmica infravermelha de longa distância para efectuar controlos em todas condições climáticas, cobrindo toda a área marítima de Macau, bem como através da tecnologia de inteligência artificial executa automaticamente a identificação e o rastreamento de bloqueio do alvo suspeito que entre na jurisdição marítima de Macau. Com este sistema como nú</w:t>
      </w:r>
      <w:r w:rsidR="000940B2" w:rsidRPr="006C5DEB">
        <w:rPr>
          <w:rStyle w:val="Nenhuma"/>
          <w:rFonts w:ascii="Times New Roman" w:hAnsi="Times New Roman"/>
          <w:sz w:val="24"/>
          <w:szCs w:val="24"/>
          <w:lang w:val="pt-PT"/>
        </w:rPr>
        <w:t xml:space="preserve">cleo, os </w:t>
      </w:r>
      <w:r w:rsidRPr="006C5DEB">
        <w:rPr>
          <w:rStyle w:val="Nenhuma"/>
          <w:rFonts w:ascii="Times New Roman" w:hAnsi="Times New Roman"/>
          <w:sz w:val="24"/>
          <w:szCs w:val="24"/>
          <w:lang w:val="pt-PT"/>
        </w:rPr>
        <w:t>SA de Macau estão a construir um novo modelo de patrulhamento, articulando-o com o mecanismo de troca de informações estabelecido com as regiões vizinhas, procedendo a uma monitorização e análise abrangente das actividades criminosas marítimas, com vista reforçar eficazmente a gestão marítima e a capacidade de execução da lei dos SA.</w:t>
      </w:r>
    </w:p>
    <w:p w:rsidR="00442B0D" w:rsidRPr="00442B0D" w:rsidRDefault="009B236C" w:rsidP="00442B0D">
      <w:pPr>
        <w:pStyle w:val="a5"/>
        <w:numPr>
          <w:ilvl w:val="0"/>
          <w:numId w:val="7"/>
        </w:numPr>
        <w:jc w:val="both"/>
        <w:rPr>
          <w:rFonts w:ascii="Times New Roman" w:hAnsi="Times New Roman"/>
          <w:sz w:val="24"/>
          <w:szCs w:val="24"/>
          <w:lang w:val="pt-PT"/>
        </w:rPr>
      </w:pPr>
      <w:r w:rsidRPr="006C5DEB">
        <w:rPr>
          <w:rStyle w:val="Nenhuma"/>
          <w:rFonts w:ascii="Times New Roman" w:hAnsi="Times New Roman"/>
          <w:sz w:val="24"/>
          <w:szCs w:val="24"/>
          <w:lang w:val="pt-PT"/>
        </w:rPr>
        <w:t xml:space="preserve">Entre Janeiro e Setembro do corrente ano, houve uma subida significativa de casos de jogos ilegais, tendo sido registados 52 casos, um aumento de 41 casos, em comparação com os 11 casos do período homólogo do ano passado. As informações das investigações mostram que os casos acima referidos estão relacionados com jogos ilegais privados ou maioritariamente em situações de exploração ilegal para o jogo, nomeadamente, salões de jogo, salões de jogo </w:t>
      </w:r>
      <w:r w:rsidRPr="006C5DEB">
        <w:rPr>
          <w:rStyle w:val="Nenhuma"/>
          <w:rFonts w:ascii="Times New Roman" w:hAnsi="Times New Roman"/>
          <w:sz w:val="24"/>
          <w:szCs w:val="24"/>
          <w:lang w:val="pt-PT"/>
        </w:rPr>
        <w:lastRenderedPageBreak/>
        <w:t xml:space="preserve">de mah-jong e casinos. Neste sentido, a </w:t>
      </w:r>
      <w:r w:rsidR="008E2F7C"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procede constantemente a</w:t>
      </w:r>
      <w:r w:rsidR="00ED3B0F" w:rsidRPr="006C5DEB">
        <w:rPr>
          <w:rStyle w:val="Nenhuma"/>
          <w:rFonts w:ascii="Times New Roman" w:hAnsi="Times New Roman"/>
          <w:sz w:val="24"/>
          <w:szCs w:val="24"/>
          <w:lang w:val="pt-PT"/>
        </w:rPr>
        <w:t>s</w:t>
      </w:r>
      <w:r w:rsidRPr="006C5DEB">
        <w:rPr>
          <w:rStyle w:val="Nenhuma"/>
          <w:rFonts w:ascii="Times New Roman" w:hAnsi="Times New Roman"/>
          <w:sz w:val="24"/>
          <w:szCs w:val="24"/>
          <w:lang w:val="pt-PT"/>
        </w:rPr>
        <w:t xml:space="preserve"> rusgas nos jardins, nas comunidades, edifícios, entre outros locais, bem como, segundo as informações recolhidas ou queixas, destaca pessoal ao local para efectuar a vistoria; Em simultâneo, por vários meios, difunde junto do público que a exploração de jogos ou casino sem autorização constitui crime e que ao participar nos jogos pode, não só, sofrer penalização como, també</w:t>
      </w:r>
      <w:r w:rsidR="00DC6A60" w:rsidRPr="006C5DEB">
        <w:rPr>
          <w:rStyle w:val="Nenhuma"/>
          <w:rFonts w:ascii="Times New Roman" w:hAnsi="Times New Roman"/>
          <w:sz w:val="24"/>
          <w:szCs w:val="24"/>
          <w:lang w:val="pt-PT"/>
        </w:rPr>
        <w:t>m,</w:t>
      </w:r>
      <w:r w:rsidRPr="006C5DEB">
        <w:rPr>
          <w:rStyle w:val="Nenhuma"/>
          <w:rFonts w:ascii="Times New Roman" w:hAnsi="Times New Roman"/>
          <w:sz w:val="24"/>
          <w:szCs w:val="24"/>
          <w:lang w:val="pt-PT"/>
        </w:rPr>
        <w:t xml:space="preserve"> ser vítima de fraude.</w:t>
      </w:r>
    </w:p>
    <w:p w:rsidR="00EC0FA0" w:rsidRDefault="009B236C">
      <w:pPr>
        <w:pStyle w:val="a5"/>
        <w:numPr>
          <w:ilvl w:val="0"/>
          <w:numId w:val="7"/>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Nos primeiros três trimestres foram registados 65 casos de extorsão, representando uma subida de 20,4% e de 11 casos comparando com o período homólogo do ano passado, entre os quais ho</w:t>
      </w:r>
      <w:r w:rsidR="00442A3C" w:rsidRPr="006C5DEB">
        <w:rPr>
          <w:rStyle w:val="Nenhuma"/>
          <w:rFonts w:ascii="Times New Roman" w:hAnsi="Times New Roman"/>
          <w:sz w:val="24"/>
          <w:szCs w:val="24"/>
          <w:lang w:val="pt-PT"/>
        </w:rPr>
        <w:t>uve uma subida significativa dos casos</w:t>
      </w:r>
      <w:r w:rsidRPr="006C5DEB">
        <w:rPr>
          <w:rStyle w:val="Nenhuma"/>
          <w:rFonts w:ascii="Times New Roman" w:hAnsi="Times New Roman"/>
          <w:sz w:val="24"/>
          <w:szCs w:val="24"/>
          <w:lang w:val="pt-PT"/>
        </w:rPr>
        <w:t xml:space="preserve"> de “conversa nua” na </w:t>
      </w:r>
      <w:r w:rsidRPr="006C5DEB">
        <w:rPr>
          <w:rStyle w:val="Nenhuma"/>
          <w:rFonts w:ascii="Times New Roman" w:hAnsi="Times New Roman"/>
          <w:i/>
          <w:sz w:val="24"/>
          <w:szCs w:val="24"/>
          <w:lang w:val="pt-PT"/>
        </w:rPr>
        <w:t>internet</w:t>
      </w:r>
      <w:r w:rsidRPr="006C5DEB">
        <w:rPr>
          <w:rStyle w:val="Nenhuma"/>
          <w:rFonts w:ascii="Times New Roman" w:hAnsi="Times New Roman"/>
          <w:sz w:val="24"/>
          <w:szCs w:val="24"/>
          <w:lang w:val="pt-PT"/>
        </w:rPr>
        <w:t>, te</w:t>
      </w:r>
      <w:r w:rsidR="00442A3C" w:rsidRPr="006C5DEB">
        <w:rPr>
          <w:rStyle w:val="Nenhuma"/>
          <w:rFonts w:ascii="Times New Roman" w:hAnsi="Times New Roman"/>
          <w:sz w:val="24"/>
          <w:szCs w:val="24"/>
          <w:lang w:val="pt-PT"/>
        </w:rPr>
        <w:t>n</w:t>
      </w:r>
      <w:r w:rsidRPr="006C5DEB">
        <w:rPr>
          <w:rStyle w:val="Nenhuma"/>
          <w:rFonts w:ascii="Times New Roman" w:hAnsi="Times New Roman"/>
          <w:sz w:val="24"/>
          <w:szCs w:val="24"/>
          <w:lang w:val="pt-PT"/>
        </w:rPr>
        <w:t>do-se registado 46</w:t>
      </w:r>
      <w:r w:rsidR="00DE5070" w:rsidRPr="006C5DEB">
        <w:rPr>
          <w:rStyle w:val="Nenhuma"/>
          <w:rFonts w:ascii="Times New Roman" w:hAnsi="Times New Roman"/>
          <w:sz w:val="24"/>
          <w:szCs w:val="24"/>
          <w:lang w:val="pt-PT"/>
        </w:rPr>
        <w:t xml:space="preserve"> destes casos, um aumento de 42</w:t>
      </w:r>
      <w:r w:rsidRPr="006C5DEB">
        <w:rPr>
          <w:rStyle w:val="Nenhuma"/>
          <w:rFonts w:ascii="Times New Roman" w:hAnsi="Times New Roman"/>
          <w:sz w:val="24"/>
          <w:szCs w:val="24"/>
          <w:lang w:val="pt-PT"/>
        </w:rPr>
        <w:t>, comparado com o mesmo período do ano transacto. De acordo com a análise da situação, há três razões para o aumento dos casos:</w:t>
      </w:r>
      <w:r w:rsidR="00DB704C" w:rsidRPr="006C5DEB">
        <w:rPr>
          <w:rStyle w:val="Nenhuma"/>
          <w:rFonts w:ascii="Times New Roman" w:hAnsi="Times New Roman"/>
          <w:sz w:val="24"/>
          <w:szCs w:val="24"/>
          <w:lang w:val="pt-PT"/>
        </w:rPr>
        <w:t xml:space="preserve"> </w:t>
      </w:r>
      <w:r w:rsidRPr="006C5DEB">
        <w:rPr>
          <w:rStyle w:val="Nenhuma"/>
          <w:rFonts w:ascii="Times New Roman" w:hAnsi="Times New Roman"/>
          <w:sz w:val="24"/>
          <w:szCs w:val="24"/>
          <w:lang w:val="pt-PT"/>
        </w:rPr>
        <w:t xml:space="preserve">Primeira, devido ao impacto da epidemia, as normais actividades sociais e de viagens sujeitavam restrições, portanto, o tempo gasto em plataformas sociais </w:t>
      </w:r>
      <w:r w:rsidRPr="006C5DEB">
        <w:rPr>
          <w:rStyle w:val="Nenhuma"/>
          <w:rFonts w:ascii="Times New Roman" w:hAnsi="Times New Roman"/>
          <w:i/>
          <w:iCs/>
          <w:sz w:val="24"/>
          <w:szCs w:val="24"/>
          <w:lang w:val="pt-PT"/>
        </w:rPr>
        <w:t>online</w:t>
      </w:r>
      <w:r w:rsidRPr="006C5DEB">
        <w:rPr>
          <w:rStyle w:val="Nenhuma"/>
          <w:rFonts w:ascii="Times New Roman" w:hAnsi="Times New Roman"/>
          <w:sz w:val="24"/>
          <w:szCs w:val="24"/>
          <w:lang w:val="pt-PT"/>
        </w:rPr>
        <w:t xml:space="preserve"> ou </w:t>
      </w:r>
      <w:r w:rsidRPr="006C5DEB">
        <w:rPr>
          <w:rStyle w:val="Nenhuma"/>
          <w:rFonts w:ascii="Times New Roman" w:hAnsi="Times New Roman"/>
          <w:i/>
          <w:sz w:val="24"/>
          <w:szCs w:val="24"/>
          <w:lang w:val="pt-PT"/>
        </w:rPr>
        <w:t>software</w:t>
      </w:r>
      <w:r w:rsidRPr="006C5DEB">
        <w:rPr>
          <w:rStyle w:val="Nenhuma"/>
          <w:rFonts w:ascii="Times New Roman" w:hAnsi="Times New Roman"/>
          <w:sz w:val="24"/>
          <w:szCs w:val="24"/>
          <w:lang w:val="pt-PT"/>
        </w:rPr>
        <w:t xml:space="preserve"> de namoro aumentou significativamente, constituindo mais oportunidades para os criminosos a identificarem e contactarem as vítimas; Segunda, devido às mudanças nas políticas de controlo de migração, dificultou-se a prática de crimes contra o património, tais como a usura, o furto, entre outros, portanto, levou mais criminosos a recorrerem à extorsão </w:t>
      </w:r>
      <w:r w:rsidRPr="006C5DEB">
        <w:rPr>
          <w:rStyle w:val="Nenhuma"/>
          <w:rFonts w:ascii="Times New Roman" w:hAnsi="Times New Roman"/>
          <w:i/>
          <w:iCs/>
          <w:sz w:val="24"/>
          <w:szCs w:val="24"/>
          <w:lang w:val="pt-PT"/>
        </w:rPr>
        <w:t>online</w:t>
      </w:r>
      <w:r w:rsidRPr="006C5DEB">
        <w:rPr>
          <w:rStyle w:val="Nenhuma"/>
          <w:rFonts w:ascii="Times New Roman" w:hAnsi="Times New Roman"/>
          <w:sz w:val="24"/>
          <w:szCs w:val="24"/>
          <w:lang w:val="pt-PT"/>
        </w:rPr>
        <w:t>; Terceira, o silê</w:t>
      </w:r>
      <w:r w:rsidR="00046F6A" w:rsidRPr="006C5DEB">
        <w:rPr>
          <w:rStyle w:val="Nenhuma"/>
          <w:rFonts w:ascii="Times New Roman" w:hAnsi="Times New Roman"/>
          <w:sz w:val="24"/>
          <w:szCs w:val="24"/>
          <w:lang w:val="pt-PT"/>
        </w:rPr>
        <w:t>ncio a que as ví</w:t>
      </w:r>
      <w:r w:rsidRPr="006C5DEB">
        <w:rPr>
          <w:rStyle w:val="Nenhuma"/>
          <w:rFonts w:ascii="Times New Roman" w:hAnsi="Times New Roman"/>
          <w:sz w:val="24"/>
          <w:szCs w:val="24"/>
          <w:lang w:val="pt-PT"/>
        </w:rPr>
        <w:t xml:space="preserve">timas se remetem movidas pelo medo de serem expostas por familiares ou amigos, o que também contribui para esse crime. Em resposta à situação acima referida, a </w:t>
      </w:r>
      <w:r w:rsidR="00681842"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 xml:space="preserve">aplicou uma medida de resposta conjunta de “combate e prevenção”, por um lado continua a reforçar o intercâmbio de troca de informações com as </w:t>
      </w:r>
      <w:r w:rsidR="00950957" w:rsidRPr="006C5DEB">
        <w:rPr>
          <w:rStyle w:val="Nenhuma"/>
          <w:rFonts w:ascii="Times New Roman" w:hAnsi="Times New Roman"/>
          <w:sz w:val="24"/>
          <w:szCs w:val="24"/>
          <w:lang w:val="pt-PT"/>
        </w:rPr>
        <w:t xml:space="preserve">Polícias </w:t>
      </w:r>
      <w:r w:rsidRPr="006C5DEB">
        <w:rPr>
          <w:rStyle w:val="Nenhuma"/>
          <w:rFonts w:ascii="Times New Roman" w:hAnsi="Times New Roman"/>
          <w:sz w:val="24"/>
          <w:szCs w:val="24"/>
          <w:lang w:val="pt-PT"/>
        </w:rPr>
        <w:t xml:space="preserve">dos países e das regiões vizinhos, iniciando atempadamente operações conjuntas, combatendo especificamente crimes transfronteiriços em grupos, procurando desmantelar totalmente os grupos criminosos; e, por outro, por meio da comunicação social tradicional, de médias de </w:t>
      </w:r>
      <w:r w:rsidRPr="00D32463">
        <w:rPr>
          <w:rStyle w:val="Nenhuma"/>
          <w:rFonts w:ascii="Times New Roman" w:hAnsi="Times New Roman"/>
          <w:i/>
          <w:sz w:val="24"/>
          <w:szCs w:val="24"/>
          <w:lang w:val="pt-PT"/>
        </w:rPr>
        <w:t>internet</w:t>
      </w:r>
      <w:r w:rsidRPr="006C5DEB">
        <w:rPr>
          <w:rStyle w:val="Nenhuma"/>
          <w:rFonts w:ascii="Times New Roman" w:hAnsi="Times New Roman"/>
          <w:sz w:val="24"/>
          <w:szCs w:val="24"/>
          <w:lang w:val="pt-PT"/>
        </w:rPr>
        <w:t xml:space="preserve">, da realização de palestras e de </w:t>
      </w:r>
      <w:r w:rsidRPr="006C5DEB">
        <w:rPr>
          <w:rStyle w:val="Nenhuma"/>
          <w:rFonts w:ascii="Times New Roman" w:hAnsi="Times New Roman"/>
          <w:i/>
          <w:iCs/>
          <w:sz w:val="24"/>
          <w:szCs w:val="24"/>
          <w:lang w:val="pt-PT"/>
        </w:rPr>
        <w:t>workshops</w:t>
      </w:r>
      <w:r w:rsidRPr="006C5DEB">
        <w:rPr>
          <w:rStyle w:val="Nenhuma"/>
          <w:rFonts w:ascii="Times New Roman" w:hAnsi="Times New Roman"/>
          <w:sz w:val="24"/>
          <w:szCs w:val="24"/>
          <w:lang w:val="pt-PT"/>
        </w:rPr>
        <w:t>, leva a cabo trabalhos de divulgação e sensibilização, elevando a consciência de prevenção do crime por parte do pú</w:t>
      </w:r>
      <w:r w:rsidR="00317745">
        <w:rPr>
          <w:rStyle w:val="Nenhuma"/>
          <w:rFonts w:ascii="Times New Roman" w:hAnsi="Times New Roman"/>
          <w:sz w:val="24"/>
          <w:szCs w:val="24"/>
          <w:lang w:val="pt-PT"/>
        </w:rPr>
        <w:t>blico, bem como exortando-o</w:t>
      </w:r>
      <w:r w:rsidRPr="006C5DEB">
        <w:rPr>
          <w:rStyle w:val="Nenhuma"/>
          <w:rFonts w:ascii="Times New Roman" w:hAnsi="Times New Roman"/>
          <w:sz w:val="24"/>
          <w:szCs w:val="24"/>
          <w:lang w:val="pt-PT"/>
        </w:rPr>
        <w:t xml:space="preserve"> a que peçam imediatamente ajuda à </w:t>
      </w:r>
      <w:r w:rsidR="008E2F7C"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em caso de extorsão.</w:t>
      </w:r>
    </w:p>
    <w:p w:rsidR="00EC0FA0" w:rsidRDefault="009B236C">
      <w:pPr>
        <w:pStyle w:val="a5"/>
        <w:numPr>
          <w:ilvl w:val="0"/>
          <w:numId w:val="7"/>
        </w:numPr>
        <w:jc w:val="both"/>
        <w:rPr>
          <w:rStyle w:val="Nenhuma"/>
          <w:rFonts w:ascii="Times New Roman" w:hAnsi="Times New Roman"/>
          <w:sz w:val="24"/>
          <w:szCs w:val="24"/>
          <w:lang w:val="pt-PT"/>
        </w:rPr>
      </w:pPr>
      <w:r w:rsidRPr="006C5DEB">
        <w:rPr>
          <w:rStyle w:val="Nenhuma"/>
          <w:rFonts w:ascii="Times New Roman" w:hAnsi="Times New Roman"/>
          <w:sz w:val="24"/>
          <w:szCs w:val="24"/>
          <w:lang w:val="pt-PT"/>
        </w:rPr>
        <w:t xml:space="preserve">Houve uma tendência de descida dos casos de tráfico de drogas nos primeiros nove meses deste ano. Foram registados 53 deste tipo de casos, representando uma descida de 43,6% e de 41 casos, comparando com o período homólogo do ano transacto. Devido às exigências de prevenção epidémica, várias partes do mundo, incluindo Macau e regiões vizinhas, implementam medidas rígidas de controlo da migração, reduzindo significativamente o fluxo de passagem fronteiriça e, assim, os grupos traficantes de </w:t>
      </w:r>
      <w:r w:rsidR="00053752">
        <w:rPr>
          <w:rStyle w:val="Nenhuma"/>
          <w:rFonts w:ascii="Times New Roman" w:hAnsi="Times New Roman"/>
          <w:sz w:val="24"/>
          <w:szCs w:val="24"/>
          <w:lang w:val="pt-PT"/>
        </w:rPr>
        <w:t>drogas recorrem, cada vez mais,</w:t>
      </w:r>
      <w:r w:rsidRPr="006C5DEB">
        <w:rPr>
          <w:rStyle w:val="Nenhuma"/>
          <w:rFonts w:ascii="Times New Roman" w:hAnsi="Times New Roman"/>
          <w:sz w:val="24"/>
          <w:szCs w:val="24"/>
          <w:lang w:val="pt-PT"/>
        </w:rPr>
        <w:t xml:space="preserve"> aos pacotes postais ou a contrabandistas para traficar drogas. Para impedir que as drogas entrem em Macau, a </w:t>
      </w:r>
      <w:r w:rsidR="00727D47"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 xml:space="preserve">e os SA reforçaram a cooperação e intercâmbio de informações com os serviços relevantes das regiões vizinhas, bem como realizam várias reuniões com os representantes do sector logístico, das companhias que ajudam as pessoas a fazer ou receber compras </w:t>
      </w:r>
      <w:r w:rsidRPr="006C5DEB">
        <w:rPr>
          <w:rStyle w:val="Nenhuma"/>
          <w:rFonts w:ascii="Times New Roman" w:hAnsi="Times New Roman"/>
          <w:i/>
          <w:iCs/>
          <w:sz w:val="24"/>
          <w:szCs w:val="24"/>
          <w:lang w:val="pt-PT"/>
        </w:rPr>
        <w:t>online</w:t>
      </w:r>
      <w:r w:rsidRPr="006C5DEB">
        <w:rPr>
          <w:rStyle w:val="Nenhuma"/>
          <w:rFonts w:ascii="Times New Roman" w:hAnsi="Times New Roman"/>
          <w:sz w:val="24"/>
          <w:szCs w:val="24"/>
          <w:lang w:val="pt-PT"/>
        </w:rPr>
        <w:t xml:space="preserve">, entre outros sectores para encontrar contra medidas. Durante os meses de Abril e Maio deste ano, a </w:t>
      </w:r>
      <w:r w:rsidR="002C14BE"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 xml:space="preserve">e os SA </w:t>
      </w:r>
      <w:r w:rsidR="00E704DB">
        <w:rPr>
          <w:rStyle w:val="Nenhuma"/>
          <w:rFonts w:ascii="Times New Roman" w:hAnsi="Times New Roman"/>
          <w:sz w:val="24"/>
          <w:szCs w:val="24"/>
          <w:lang w:val="pt-PT"/>
        </w:rPr>
        <w:t xml:space="preserve">de Macau </w:t>
      </w:r>
      <w:r w:rsidRPr="006C5DEB">
        <w:rPr>
          <w:rStyle w:val="Nenhuma"/>
          <w:rFonts w:ascii="Times New Roman" w:hAnsi="Times New Roman"/>
          <w:sz w:val="24"/>
          <w:szCs w:val="24"/>
          <w:lang w:val="pt-PT"/>
        </w:rPr>
        <w:t xml:space="preserve">realizaram </w:t>
      </w:r>
      <w:r w:rsidRPr="006C5DEB">
        <w:rPr>
          <w:rStyle w:val="Nenhuma"/>
          <w:rFonts w:ascii="Times New Roman" w:hAnsi="Times New Roman"/>
          <w:sz w:val="24"/>
          <w:szCs w:val="24"/>
          <w:lang w:val="pt-PT"/>
        </w:rPr>
        <w:lastRenderedPageBreak/>
        <w:t xml:space="preserve">operações conjuntas com a </w:t>
      </w:r>
      <w:r w:rsidR="00626A9D"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 xml:space="preserve">do Interior da China, desmantelaram com sucesso um grupo criminoso transfronteiriço que traficava drogas por via marítima, tendo sido detidos, nos dois lados, 17 membros deste grupo, incluindo o chefe e apreendidos cocaína, metanfetamina, canábis e outras drogas no valor de cerca de 2,1 milhões de patacas. Para além disso, nos primeiros nove meses deste ano, a </w:t>
      </w:r>
      <w:r w:rsidR="00407D63"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 xml:space="preserve">deteve 8 casos de tráfico de drogas por via de pacotes postais. Em 31 de Agosto, a </w:t>
      </w:r>
      <w:r w:rsidR="007F007B" w:rsidRPr="006C5DEB">
        <w:rPr>
          <w:rStyle w:val="Nenhuma"/>
          <w:rFonts w:ascii="Times New Roman" w:hAnsi="Times New Roman"/>
          <w:sz w:val="24"/>
          <w:szCs w:val="24"/>
          <w:lang w:val="pt-PT"/>
        </w:rPr>
        <w:t xml:space="preserve">Polícia </w:t>
      </w:r>
      <w:r w:rsidR="000146E2">
        <w:rPr>
          <w:rStyle w:val="Nenhuma"/>
          <w:rFonts w:ascii="Times New Roman" w:hAnsi="Times New Roman"/>
          <w:sz w:val="24"/>
          <w:szCs w:val="24"/>
          <w:lang w:val="pt-PT"/>
        </w:rPr>
        <w:t xml:space="preserve">de Macau </w:t>
      </w:r>
      <w:r w:rsidRPr="006C5DEB">
        <w:rPr>
          <w:rStyle w:val="Nenhuma"/>
          <w:rFonts w:ascii="Times New Roman" w:hAnsi="Times New Roman"/>
          <w:sz w:val="24"/>
          <w:szCs w:val="24"/>
          <w:lang w:val="pt-PT"/>
        </w:rPr>
        <w:t>recebeu informações do Interior da China através do mecanismo de comunicação e implementou conjuntamente com os SA de Macau uma operação, nesta operação apreenderam um pacote postal com droga de “LSD” e tendo sido detidos 2 destinatários.</w:t>
      </w:r>
    </w:p>
    <w:p w:rsidR="00442B0D" w:rsidRPr="00442B0D" w:rsidRDefault="009B236C" w:rsidP="00442B0D">
      <w:pPr>
        <w:pStyle w:val="a5"/>
        <w:numPr>
          <w:ilvl w:val="0"/>
          <w:numId w:val="7"/>
        </w:numPr>
        <w:jc w:val="both"/>
        <w:rPr>
          <w:rFonts w:ascii="Times New Roman" w:hAnsi="Times New Roman"/>
          <w:sz w:val="24"/>
          <w:szCs w:val="24"/>
          <w:lang w:val="pt-PT"/>
        </w:rPr>
      </w:pPr>
      <w:r w:rsidRPr="006C5DEB">
        <w:rPr>
          <w:rStyle w:val="Nenhuma"/>
          <w:rFonts w:ascii="Times New Roman" w:hAnsi="Times New Roman"/>
          <w:sz w:val="24"/>
          <w:szCs w:val="24"/>
          <w:lang w:val="pt-PT"/>
        </w:rPr>
        <w:t xml:space="preserve">Nos primeiros três trimestres deste ano, a </w:t>
      </w:r>
      <w:r w:rsidR="000E0881" w:rsidRPr="006C5DEB">
        <w:rPr>
          <w:rStyle w:val="Nenhuma"/>
          <w:rFonts w:ascii="Times New Roman" w:hAnsi="Times New Roman"/>
          <w:sz w:val="24"/>
          <w:szCs w:val="24"/>
          <w:lang w:val="pt-PT"/>
        </w:rPr>
        <w:t xml:space="preserve">Polícia </w:t>
      </w:r>
      <w:r w:rsidRPr="006C5DEB">
        <w:rPr>
          <w:rStyle w:val="Nenhuma"/>
          <w:rFonts w:ascii="Times New Roman" w:hAnsi="Times New Roman"/>
          <w:sz w:val="24"/>
          <w:szCs w:val="24"/>
          <w:lang w:val="pt-PT"/>
        </w:rPr>
        <w:t>usou o “Sistema de Videovigilância em Espaços Públicos de Macau”, vulgarmente conhecido por “Olhos no céu”, para auxiliar na investigação de 1.625 casos, os quais incluíram a criminalidade violenta como os crimes de “ofensas graves à integridade física”, “rapto” e “fogo posto”. No dia 6 de Agosto, entraram em funcionamento as câmaras da 4.ª fase do sistema “Olhos no céu”. Actualmente está em estudo o planeamento da instalação de 300 e 680 câmaras de videovigilância, respectivamente, nas 5.ª e 6.ª fases, com vista a “intensificar a implementação das câmaras em determinadas zonas” e “aprofundar e alargar a disposição geral das câmaras”.</w:t>
      </w:r>
    </w:p>
    <w:p w:rsidR="00EC0FA0" w:rsidRPr="006C5DEB" w:rsidRDefault="009B236C">
      <w:pPr>
        <w:pStyle w:val="a5"/>
        <w:numPr>
          <w:ilvl w:val="0"/>
          <w:numId w:val="7"/>
        </w:numPr>
        <w:jc w:val="both"/>
        <w:rPr>
          <w:rFonts w:ascii="Times New Roman" w:hAnsi="Times New Roman"/>
          <w:sz w:val="24"/>
          <w:szCs w:val="24"/>
          <w:lang w:val="pt-PT"/>
        </w:rPr>
      </w:pPr>
      <w:r w:rsidRPr="006C5DEB">
        <w:rPr>
          <w:rStyle w:val="Nenhuma"/>
          <w:rFonts w:ascii="Times New Roman" w:hAnsi="Times New Roman"/>
          <w:sz w:val="24"/>
          <w:szCs w:val="24"/>
          <w:lang w:val="pt-PT"/>
        </w:rPr>
        <w:t>Conforme os dados criminalísticos registados em Janeiro a Setembro do ano 2020, a segurança de Macau mantém-se favorável e estável e a maioria dos crimes apresenta uma tendência de descida constante. Neste momento, a situação global da epidemia da pneumonia do novo tipo de coron</w:t>
      </w:r>
      <w:r w:rsidR="0040478E">
        <w:rPr>
          <w:rStyle w:val="Nenhuma"/>
          <w:rFonts w:ascii="Times New Roman" w:hAnsi="Times New Roman"/>
          <w:sz w:val="24"/>
          <w:szCs w:val="24"/>
          <w:lang w:val="pt-PT"/>
        </w:rPr>
        <w:t>avírus</w:t>
      </w:r>
      <w:r w:rsidRPr="006C5DEB">
        <w:rPr>
          <w:rStyle w:val="Nenhuma"/>
          <w:rFonts w:ascii="Times New Roman" w:hAnsi="Times New Roman"/>
          <w:sz w:val="24"/>
          <w:szCs w:val="24"/>
          <w:lang w:val="pt-PT"/>
        </w:rPr>
        <w:t xml:space="preserve"> ainda é grave. O número de infecções em muitos países e regiões voltou a aumentar significativamente. Para além disso, o inverno é uma estação em que vários vírus epidé</w:t>
      </w:r>
      <w:r w:rsidR="00073A63">
        <w:rPr>
          <w:rStyle w:val="Nenhuma"/>
          <w:rFonts w:ascii="Times New Roman" w:hAnsi="Times New Roman"/>
          <w:sz w:val="24"/>
          <w:szCs w:val="24"/>
          <w:lang w:val="pt-PT"/>
        </w:rPr>
        <w:t>micos se espalham</w:t>
      </w:r>
      <w:r w:rsidRPr="006C5DEB">
        <w:rPr>
          <w:rStyle w:val="Nenhuma"/>
          <w:rFonts w:ascii="Times New Roman" w:hAnsi="Times New Roman"/>
          <w:sz w:val="24"/>
          <w:szCs w:val="24"/>
          <w:lang w:val="pt-PT"/>
        </w:rPr>
        <w:t xml:space="preserve"> facilmente. Nesta fase, as autoridades de segurança irão cooperar cabalmente e activamente com a implantação da prevenção epidémica, que ainda é o foco de trabalho do </w:t>
      </w:r>
      <w:r w:rsidR="00AB21CD" w:rsidRPr="006C5DEB">
        <w:rPr>
          <w:rStyle w:val="Nenhuma"/>
          <w:rFonts w:ascii="Times New Roman" w:hAnsi="Times New Roman"/>
          <w:sz w:val="24"/>
          <w:szCs w:val="24"/>
          <w:lang w:val="pt-PT"/>
        </w:rPr>
        <w:t xml:space="preserve">Governo </w:t>
      </w:r>
      <w:r w:rsidRPr="006C5DEB">
        <w:rPr>
          <w:rStyle w:val="Nenhuma"/>
          <w:rFonts w:ascii="Times New Roman" w:hAnsi="Times New Roman"/>
          <w:sz w:val="24"/>
          <w:szCs w:val="24"/>
          <w:lang w:val="pt-PT"/>
        </w:rPr>
        <w:t>da RAEM. E ainda, no final de Setembro, o Interior da China retomou totalmente a política de vistos individuais dos residentes do Interior da China a Macau.</w:t>
      </w:r>
      <w:r w:rsidR="00E60450">
        <w:rPr>
          <w:rStyle w:val="Nenhuma"/>
          <w:rFonts w:ascii="Times New Roman" w:hAnsi="Times New Roman"/>
          <w:sz w:val="24"/>
          <w:szCs w:val="24"/>
          <w:lang w:val="pt-PT"/>
        </w:rPr>
        <w:t xml:space="preserve"> Embora, neste</w:t>
      </w:r>
      <w:r w:rsidRPr="006C5DEB">
        <w:rPr>
          <w:rStyle w:val="Nenhuma"/>
          <w:rFonts w:ascii="Times New Roman" w:hAnsi="Times New Roman"/>
          <w:sz w:val="24"/>
          <w:szCs w:val="24"/>
          <w:lang w:val="pt-PT"/>
        </w:rPr>
        <w:t xml:space="preserve"> curto espaç</w:t>
      </w:r>
      <w:r w:rsidR="00E60450">
        <w:rPr>
          <w:rStyle w:val="Nenhuma"/>
          <w:rFonts w:ascii="Times New Roman" w:hAnsi="Times New Roman"/>
          <w:sz w:val="24"/>
          <w:szCs w:val="24"/>
          <w:lang w:val="pt-PT"/>
        </w:rPr>
        <w:t xml:space="preserve">o </w:t>
      </w:r>
      <w:r w:rsidRPr="006C5DEB">
        <w:rPr>
          <w:rStyle w:val="Nenhuma"/>
          <w:rFonts w:ascii="Times New Roman" w:hAnsi="Times New Roman"/>
          <w:sz w:val="24"/>
          <w:szCs w:val="24"/>
          <w:lang w:val="pt-PT"/>
        </w:rPr>
        <w:t xml:space="preserve">de tempo, o número de turistas ainda seja menor do que o esperado, à medida que o </w:t>
      </w:r>
      <w:r w:rsidR="00AB21CD" w:rsidRPr="006C5DEB">
        <w:rPr>
          <w:rStyle w:val="Nenhuma"/>
          <w:rFonts w:ascii="Times New Roman" w:hAnsi="Times New Roman"/>
          <w:sz w:val="24"/>
          <w:szCs w:val="24"/>
          <w:lang w:val="pt-PT"/>
        </w:rPr>
        <w:t xml:space="preserve">Governo </w:t>
      </w:r>
      <w:r w:rsidRPr="006C5DEB">
        <w:rPr>
          <w:rStyle w:val="Nenhuma"/>
          <w:rFonts w:ascii="Times New Roman" w:hAnsi="Times New Roman"/>
          <w:sz w:val="24"/>
          <w:szCs w:val="24"/>
          <w:lang w:val="pt-PT"/>
        </w:rPr>
        <w:t xml:space="preserve">da RAEM introduz mais políticas e medidas para atrair mais turismo, sob o pressuposto de prevenção de segurança epidémica, o número de turistas deverá recuperar gradualmente no futuro. Assim sendo, traz mais factores incertos que afectam a segurança pública. As autoridades de segurança manterão um alto nível de alerta, continuarão a implementar o conceito de recurso à tecnologia para reforçar o policiamento, bem como reforçam a cooperação com outros serviços, </w:t>
      </w:r>
      <w:r w:rsidR="0061579A" w:rsidRPr="006C5DEB">
        <w:rPr>
          <w:rStyle w:val="Nenhuma"/>
          <w:rFonts w:ascii="Times New Roman" w:hAnsi="Times New Roman"/>
          <w:sz w:val="24"/>
          <w:szCs w:val="24"/>
          <w:lang w:val="pt-PT"/>
        </w:rPr>
        <w:t xml:space="preserve">Polícias </w:t>
      </w:r>
      <w:r w:rsidRPr="006C5DEB">
        <w:rPr>
          <w:rStyle w:val="Nenhuma"/>
          <w:rFonts w:ascii="Times New Roman" w:hAnsi="Times New Roman"/>
          <w:sz w:val="24"/>
          <w:szCs w:val="24"/>
          <w:lang w:val="pt-PT"/>
        </w:rPr>
        <w:t>de regiões vizinhas e a Interpol e procedam constantemente à avaliação da situação de segurança e ao ajustamento atempado das medidas implementadas, com vista a assegurar a prosperidade e a estabilidade da sociedade de Macau.</w:t>
      </w:r>
    </w:p>
    <w:p w:rsidR="00EC0FA0" w:rsidRPr="006C5DEB" w:rsidRDefault="00EC0FA0">
      <w:pPr>
        <w:pStyle w:val="Corpo"/>
        <w:jc w:val="both"/>
        <w:rPr>
          <w:rStyle w:val="Nenhuma"/>
          <w:rFonts w:ascii="Times New Roman" w:eastAsia="Times New Roman" w:hAnsi="Times New Roman" w:cs="Times New Roman"/>
          <w:sz w:val="24"/>
          <w:szCs w:val="24"/>
        </w:rPr>
      </w:pPr>
    </w:p>
    <w:p w:rsidR="00EC0FA0" w:rsidRPr="006C5DEB" w:rsidRDefault="009B236C" w:rsidP="006A2347">
      <w:pPr>
        <w:pStyle w:val="Corpo"/>
        <w:ind w:leftChars="2598" w:left="6235"/>
        <w:jc w:val="center"/>
      </w:pPr>
      <w:r w:rsidRPr="006C5DEB">
        <w:rPr>
          <w:rStyle w:val="Nenhuma"/>
          <w:rFonts w:ascii="Times New Roman" w:hAnsi="Times New Roman"/>
          <w:sz w:val="24"/>
          <w:szCs w:val="24"/>
        </w:rPr>
        <w:t>26 de Novembro de 2020</w:t>
      </w:r>
    </w:p>
    <w:sectPr w:rsidR="00EC0FA0" w:rsidRPr="006C5DEB">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04" w:rsidRDefault="00003C04">
      <w:r>
        <w:separator/>
      </w:r>
    </w:p>
  </w:endnote>
  <w:endnote w:type="continuationSeparator" w:id="0">
    <w:p w:rsidR="00003C04" w:rsidRDefault="0000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A0" w:rsidRDefault="009B236C">
    <w:pPr>
      <w:pStyle w:val="a4"/>
      <w:tabs>
        <w:tab w:val="clear" w:pos="9360"/>
        <w:tab w:val="right" w:pos="9340"/>
      </w:tabs>
      <w:jc w:val="right"/>
    </w:pPr>
    <w:r>
      <w:rPr>
        <w:rStyle w:val="Nenhuma"/>
        <w:rFonts w:ascii="Times New Roman" w:hAnsi="Times New Roman"/>
        <w:sz w:val="16"/>
        <w:szCs w:val="16"/>
      </w:rPr>
      <w:fldChar w:fldCharType="begin"/>
    </w:r>
    <w:r>
      <w:rPr>
        <w:rStyle w:val="Nenhuma"/>
        <w:rFonts w:ascii="Times New Roman" w:hAnsi="Times New Roman"/>
        <w:sz w:val="16"/>
        <w:szCs w:val="16"/>
      </w:rPr>
      <w:instrText xml:space="preserve"> PAGE </w:instrText>
    </w:r>
    <w:r>
      <w:rPr>
        <w:rStyle w:val="Nenhuma"/>
        <w:rFonts w:ascii="Times New Roman" w:hAnsi="Times New Roman"/>
        <w:sz w:val="16"/>
        <w:szCs w:val="16"/>
      </w:rPr>
      <w:fldChar w:fldCharType="separate"/>
    </w:r>
    <w:r w:rsidR="00E8790F">
      <w:rPr>
        <w:rStyle w:val="Nenhuma"/>
        <w:rFonts w:ascii="Times New Roman" w:hAnsi="Times New Roman"/>
        <w:noProof/>
        <w:sz w:val="16"/>
        <w:szCs w:val="16"/>
      </w:rPr>
      <w:t>1</w:t>
    </w:r>
    <w:r>
      <w:rPr>
        <w:rStyle w:val="Nenhuma"/>
        <w:rFonts w:ascii="Times New Roman" w:hAnsi="Times New Roman"/>
        <w:sz w:val="16"/>
        <w:szCs w:val="16"/>
      </w:rPr>
      <w:fldChar w:fldCharType="end"/>
    </w:r>
    <w:r>
      <w:rPr>
        <w:rStyle w:val="Nenhuma"/>
        <w:rFonts w:ascii="Times New Roman" w:hAnsi="Times New Roman"/>
        <w:sz w:val="16"/>
        <w:szCs w:val="16"/>
      </w:rPr>
      <w:t>/</w:t>
    </w:r>
    <w:r w:rsidR="006A2347">
      <w:rPr>
        <w:rStyle w:val="Nenhuma"/>
        <w:rFonts w:ascii="Times New Roman" w:hAnsi="Times New Roman" w:hint="eastAsia"/>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04" w:rsidRDefault="00003C04">
      <w:r>
        <w:separator/>
      </w:r>
    </w:p>
  </w:footnote>
  <w:footnote w:type="continuationSeparator" w:id="0">
    <w:p w:rsidR="00003C04" w:rsidRDefault="00003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24C3F"/>
    <w:multiLevelType w:val="hybridMultilevel"/>
    <w:tmpl w:val="CBD097C4"/>
    <w:numStyleLink w:val="Estiloimportado1"/>
  </w:abstractNum>
  <w:abstractNum w:abstractNumId="1">
    <w:nsid w:val="25D22B76"/>
    <w:multiLevelType w:val="hybridMultilevel"/>
    <w:tmpl w:val="0E5C2B40"/>
    <w:styleLink w:val="Estiloimportado3"/>
    <w:lvl w:ilvl="0" w:tplc="ACAA691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821C3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607B9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BC6A1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76EFEA">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74E48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44540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744A9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4E094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5DF5090"/>
    <w:multiLevelType w:val="hybridMultilevel"/>
    <w:tmpl w:val="0E5C2B40"/>
    <w:numStyleLink w:val="Estiloimportado3"/>
  </w:abstractNum>
  <w:abstractNum w:abstractNumId="3">
    <w:nsid w:val="4CF80E4E"/>
    <w:multiLevelType w:val="hybridMultilevel"/>
    <w:tmpl w:val="CBD097C4"/>
    <w:styleLink w:val="Estiloimportado1"/>
    <w:lvl w:ilvl="0" w:tplc="E012B5F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C9A59DA">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CD44D44">
      <w:start w:val="1"/>
      <w:numFmt w:val="lowerRoman"/>
      <w:lvlText w:val="%3."/>
      <w:lvlJc w:val="left"/>
      <w:pPr>
        <w:ind w:left="18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7930A49E">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93A1DAC">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44879BC">
      <w:start w:val="1"/>
      <w:numFmt w:val="lowerRoman"/>
      <w:lvlText w:val="%6."/>
      <w:lvlJc w:val="left"/>
      <w:pPr>
        <w:ind w:left="4025"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7F3CA774">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F585D1A">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8FCF8F0">
      <w:start w:val="1"/>
      <w:numFmt w:val="lowerRoman"/>
      <w:lvlText w:val="%9."/>
      <w:lvlJc w:val="left"/>
      <w:pPr>
        <w:ind w:left="6185"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01B64B0"/>
    <w:multiLevelType w:val="multilevel"/>
    <w:tmpl w:val="8D186B4A"/>
    <w:styleLink w:val="Estiloimportado2"/>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572"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998"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784"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21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99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422"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208"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AB317EC"/>
    <w:multiLevelType w:val="multilevel"/>
    <w:tmpl w:val="8D186B4A"/>
    <w:numStyleLink w:val="Estiloimportado2"/>
  </w:abstractNum>
  <w:num w:numId="1">
    <w:abstractNumId w:val="3"/>
  </w:num>
  <w:num w:numId="2">
    <w:abstractNumId w:val="0"/>
  </w:num>
  <w:num w:numId="3">
    <w:abstractNumId w:val="4"/>
  </w:num>
  <w:num w:numId="4">
    <w:abstractNumId w:val="5"/>
  </w:num>
  <w:num w:numId="5">
    <w:abstractNumId w:val="0"/>
    <w:lvlOverride w:ilvl="0">
      <w:startOverride w:val="2"/>
      <w:lvl w:ilvl="0" w:tplc="6520DDA4">
        <w:start w:val="2"/>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E6EA31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640E8C4">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4B8ECC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AED0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8C449A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EC2CE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320A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7EE57C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C0FA0"/>
    <w:rsid w:val="00003C04"/>
    <w:rsid w:val="000146E2"/>
    <w:rsid w:val="00046F6A"/>
    <w:rsid w:val="00053752"/>
    <w:rsid w:val="00073A63"/>
    <w:rsid w:val="00074AE3"/>
    <w:rsid w:val="000940B2"/>
    <w:rsid w:val="000D0743"/>
    <w:rsid w:val="000E0881"/>
    <w:rsid w:val="0013112A"/>
    <w:rsid w:val="00175EAD"/>
    <w:rsid w:val="00191284"/>
    <w:rsid w:val="001D340E"/>
    <w:rsid w:val="00255363"/>
    <w:rsid w:val="002822D5"/>
    <w:rsid w:val="002C14BE"/>
    <w:rsid w:val="00317745"/>
    <w:rsid w:val="003410FC"/>
    <w:rsid w:val="003849C1"/>
    <w:rsid w:val="003A5A04"/>
    <w:rsid w:val="003A5D54"/>
    <w:rsid w:val="003A64BF"/>
    <w:rsid w:val="003D230E"/>
    <w:rsid w:val="0040478E"/>
    <w:rsid w:val="00407D63"/>
    <w:rsid w:val="00442A3C"/>
    <w:rsid w:val="00442B0D"/>
    <w:rsid w:val="004449CB"/>
    <w:rsid w:val="00451702"/>
    <w:rsid w:val="0049686C"/>
    <w:rsid w:val="004B460B"/>
    <w:rsid w:val="00507F8F"/>
    <w:rsid w:val="00517A28"/>
    <w:rsid w:val="00525551"/>
    <w:rsid w:val="005C7FBF"/>
    <w:rsid w:val="0061579A"/>
    <w:rsid w:val="00620937"/>
    <w:rsid w:val="00626A9D"/>
    <w:rsid w:val="00670DA5"/>
    <w:rsid w:val="00681842"/>
    <w:rsid w:val="006A2347"/>
    <w:rsid w:val="006B7C95"/>
    <w:rsid w:val="006C5DEB"/>
    <w:rsid w:val="00727D47"/>
    <w:rsid w:val="00730723"/>
    <w:rsid w:val="00761003"/>
    <w:rsid w:val="007943C1"/>
    <w:rsid w:val="007958CA"/>
    <w:rsid w:val="007E7C7E"/>
    <w:rsid w:val="007F007B"/>
    <w:rsid w:val="0084522C"/>
    <w:rsid w:val="00881CC2"/>
    <w:rsid w:val="008825B6"/>
    <w:rsid w:val="0089299B"/>
    <w:rsid w:val="008E2F7C"/>
    <w:rsid w:val="00916BF6"/>
    <w:rsid w:val="00943BE2"/>
    <w:rsid w:val="00950957"/>
    <w:rsid w:val="00990FFA"/>
    <w:rsid w:val="009A142A"/>
    <w:rsid w:val="009B09A4"/>
    <w:rsid w:val="009B236C"/>
    <w:rsid w:val="00A057FF"/>
    <w:rsid w:val="00A24A79"/>
    <w:rsid w:val="00A87F53"/>
    <w:rsid w:val="00AB21CD"/>
    <w:rsid w:val="00AC3456"/>
    <w:rsid w:val="00B0484E"/>
    <w:rsid w:val="00B51B48"/>
    <w:rsid w:val="00B92862"/>
    <w:rsid w:val="00BA1362"/>
    <w:rsid w:val="00BF2D1A"/>
    <w:rsid w:val="00BF2DEF"/>
    <w:rsid w:val="00CC56E3"/>
    <w:rsid w:val="00D32463"/>
    <w:rsid w:val="00D62F77"/>
    <w:rsid w:val="00D77E8F"/>
    <w:rsid w:val="00DA31D7"/>
    <w:rsid w:val="00DA41BA"/>
    <w:rsid w:val="00DB704C"/>
    <w:rsid w:val="00DC43D9"/>
    <w:rsid w:val="00DC6A60"/>
    <w:rsid w:val="00DE5070"/>
    <w:rsid w:val="00E45059"/>
    <w:rsid w:val="00E4609A"/>
    <w:rsid w:val="00E60450"/>
    <w:rsid w:val="00E6557C"/>
    <w:rsid w:val="00E704DB"/>
    <w:rsid w:val="00E8790F"/>
    <w:rsid w:val="00EC0FA0"/>
    <w:rsid w:val="00EC55DA"/>
    <w:rsid w:val="00ED3B0F"/>
    <w:rsid w:val="00EF548D"/>
    <w:rsid w:val="00F257A0"/>
    <w:rsid w:val="00F60D9A"/>
    <w:rsid w:val="00F838B3"/>
    <w:rsid w:val="00F90B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680"/>
        <w:tab w:val="right" w:pos="9360"/>
      </w:tabs>
    </w:pPr>
    <w:rPr>
      <w:rFonts w:ascii="Calibri" w:eastAsia="Arial Unicode MS" w:hAnsi="Calibri" w:cs="Arial Unicode MS"/>
      <w:color w:val="000000"/>
      <w:sz w:val="22"/>
      <w:szCs w:val="22"/>
      <w:u w:color="000000"/>
    </w:rPr>
  </w:style>
  <w:style w:type="character" w:customStyle="1" w:styleId="Nenhuma">
    <w:name w:val="Nenhuma"/>
  </w:style>
  <w:style w:type="paragraph" w:customStyle="1" w:styleId="Corpo">
    <w:name w:val="Corpo"/>
    <w:pPr>
      <w:spacing w:after="200" w:line="276" w:lineRule="auto"/>
    </w:pPr>
    <w:rPr>
      <w:rFonts w:ascii="Calibri" w:eastAsia="Arial Unicode MS" w:hAnsi="Calibri" w:cs="Arial Unicode MS"/>
      <w:color w:val="000000"/>
      <w:sz w:val="22"/>
      <w:szCs w:val="22"/>
      <w:u w:color="000000"/>
      <w:lang w:val="pt-PT"/>
      <w14:textOutline w14:w="0" w14:cap="flat" w14:cmpd="sng" w14:algn="ctr">
        <w14:noFill/>
        <w14:prstDash w14:val="solid"/>
        <w14:bevel/>
      </w14:textOutline>
    </w:rPr>
  </w:style>
  <w:style w:type="paragraph" w:styleId="a5">
    <w:name w:val="List Paragraph"/>
    <w:pPr>
      <w:spacing w:after="200" w:line="276" w:lineRule="auto"/>
      <w:ind w:left="720"/>
    </w:pPr>
    <w:rPr>
      <w:rFonts w:ascii="Calibri" w:eastAsia="Arial Unicode MS" w:hAnsi="Calibri" w:cs="Arial Unicode MS"/>
      <w:color w:val="000000"/>
      <w:sz w:val="22"/>
      <w:szCs w:val="22"/>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6"/>
      </w:numPr>
    </w:pPr>
  </w:style>
  <w:style w:type="paragraph" w:styleId="a6">
    <w:name w:val="Balloon Text"/>
    <w:basedOn w:val="a"/>
    <w:link w:val="a7"/>
    <w:uiPriority w:val="99"/>
    <w:semiHidden/>
    <w:unhideWhenUsed/>
    <w:rsid w:val="00074AE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74AE3"/>
    <w:rPr>
      <w:rFonts w:asciiTheme="majorHAnsi" w:eastAsiaTheme="majorEastAsia" w:hAnsiTheme="majorHAnsi" w:cstheme="majorBidi"/>
      <w:sz w:val="18"/>
      <w:szCs w:val="18"/>
      <w:lang w:eastAsia="en-US"/>
    </w:rPr>
  </w:style>
  <w:style w:type="paragraph" w:styleId="a8">
    <w:name w:val="header"/>
    <w:basedOn w:val="a"/>
    <w:link w:val="a9"/>
    <w:uiPriority w:val="99"/>
    <w:unhideWhenUsed/>
    <w:rsid w:val="006A2347"/>
    <w:pPr>
      <w:tabs>
        <w:tab w:val="center" w:pos="4153"/>
        <w:tab w:val="right" w:pos="8306"/>
      </w:tabs>
      <w:snapToGrid w:val="0"/>
    </w:pPr>
    <w:rPr>
      <w:sz w:val="20"/>
      <w:szCs w:val="20"/>
    </w:rPr>
  </w:style>
  <w:style w:type="character" w:customStyle="1" w:styleId="a9">
    <w:name w:val="頁首 字元"/>
    <w:basedOn w:val="a0"/>
    <w:link w:val="a8"/>
    <w:uiPriority w:val="99"/>
    <w:rsid w:val="006A234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680"/>
        <w:tab w:val="right" w:pos="9360"/>
      </w:tabs>
    </w:pPr>
    <w:rPr>
      <w:rFonts w:ascii="Calibri" w:eastAsia="Arial Unicode MS" w:hAnsi="Calibri" w:cs="Arial Unicode MS"/>
      <w:color w:val="000000"/>
      <w:sz w:val="22"/>
      <w:szCs w:val="22"/>
      <w:u w:color="000000"/>
    </w:rPr>
  </w:style>
  <w:style w:type="character" w:customStyle="1" w:styleId="Nenhuma">
    <w:name w:val="Nenhuma"/>
  </w:style>
  <w:style w:type="paragraph" w:customStyle="1" w:styleId="Corpo">
    <w:name w:val="Corpo"/>
    <w:pPr>
      <w:spacing w:after="200" w:line="276" w:lineRule="auto"/>
    </w:pPr>
    <w:rPr>
      <w:rFonts w:ascii="Calibri" w:eastAsia="Arial Unicode MS" w:hAnsi="Calibri" w:cs="Arial Unicode MS"/>
      <w:color w:val="000000"/>
      <w:sz w:val="22"/>
      <w:szCs w:val="22"/>
      <w:u w:color="000000"/>
      <w:lang w:val="pt-PT"/>
      <w14:textOutline w14:w="0" w14:cap="flat" w14:cmpd="sng" w14:algn="ctr">
        <w14:noFill/>
        <w14:prstDash w14:val="solid"/>
        <w14:bevel/>
      </w14:textOutline>
    </w:rPr>
  </w:style>
  <w:style w:type="paragraph" w:styleId="a5">
    <w:name w:val="List Paragraph"/>
    <w:pPr>
      <w:spacing w:after="200" w:line="276" w:lineRule="auto"/>
      <w:ind w:left="720"/>
    </w:pPr>
    <w:rPr>
      <w:rFonts w:ascii="Calibri" w:eastAsia="Arial Unicode MS" w:hAnsi="Calibri" w:cs="Arial Unicode MS"/>
      <w:color w:val="000000"/>
      <w:sz w:val="22"/>
      <w:szCs w:val="22"/>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6"/>
      </w:numPr>
    </w:pPr>
  </w:style>
  <w:style w:type="paragraph" w:styleId="a6">
    <w:name w:val="Balloon Text"/>
    <w:basedOn w:val="a"/>
    <w:link w:val="a7"/>
    <w:uiPriority w:val="99"/>
    <w:semiHidden/>
    <w:unhideWhenUsed/>
    <w:rsid w:val="00074AE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74AE3"/>
    <w:rPr>
      <w:rFonts w:asciiTheme="majorHAnsi" w:eastAsiaTheme="majorEastAsia" w:hAnsiTheme="majorHAnsi" w:cstheme="majorBidi"/>
      <w:sz w:val="18"/>
      <w:szCs w:val="18"/>
      <w:lang w:eastAsia="en-US"/>
    </w:rPr>
  </w:style>
  <w:style w:type="paragraph" w:styleId="a8">
    <w:name w:val="header"/>
    <w:basedOn w:val="a"/>
    <w:link w:val="a9"/>
    <w:uiPriority w:val="99"/>
    <w:unhideWhenUsed/>
    <w:rsid w:val="006A2347"/>
    <w:pPr>
      <w:tabs>
        <w:tab w:val="center" w:pos="4153"/>
        <w:tab w:val="right" w:pos="8306"/>
      </w:tabs>
      <w:snapToGrid w:val="0"/>
    </w:pPr>
    <w:rPr>
      <w:sz w:val="20"/>
      <w:szCs w:val="20"/>
    </w:rPr>
  </w:style>
  <w:style w:type="character" w:customStyle="1" w:styleId="a9">
    <w:name w:val="頁首 字元"/>
    <w:basedOn w:val="a0"/>
    <w:link w:val="a8"/>
    <w:uiPriority w:val="99"/>
    <w:rsid w:val="006A234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3610</Words>
  <Characters>20583</Characters>
  <Application>Microsoft Office Word</Application>
  <DocSecurity>0</DocSecurity>
  <Lines>171</Lines>
  <Paragraphs>48</Paragraphs>
  <ScaleCrop>false</ScaleCrop>
  <Company>Hewlett-Packard Company</Company>
  <LinksUpToDate>false</LinksUpToDate>
  <CharactersWithSpaces>24145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dc:creator>
  <cp:lastModifiedBy>Administrator</cp:lastModifiedBy>
  <cp:revision>2</cp:revision>
  <cp:lastPrinted>2020-11-17T01:47:00Z</cp:lastPrinted>
  <dcterms:created xsi:type="dcterms:W3CDTF">2020-11-24T07:43:00Z</dcterms:created>
  <dcterms:modified xsi:type="dcterms:W3CDTF">2020-11-24T07:43:00Z</dcterms:modified>
</cp:coreProperties>
</file>