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F3FA" w14:textId="1D6A84C0" w:rsidR="00BD79BD" w:rsidRPr="000270DA" w:rsidRDefault="00BD79BD" w:rsidP="00BD79BD">
      <w:pPr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</w:pPr>
      <w:r w:rsidRPr="000270DA"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>Tratamento das formalidades de entrega das habitações aos primeiros agregados familiares do Concurso de habitação económica de 2021</w:t>
      </w:r>
    </w:p>
    <w:p w14:paraId="5F421FBB" w14:textId="634D29C7" w:rsidR="00BD79BD" w:rsidRPr="0087744C" w:rsidRDefault="00BD79BD" w:rsidP="0087744C">
      <w:pPr>
        <w:jc w:val="center"/>
        <w:rPr>
          <w:rFonts w:ascii="Times New Roman" w:eastAsia="標楷體" w:hAnsi="Times New Roman" w:cs="Times New Roman" w:hint="eastAsia"/>
          <w:b/>
          <w:bCs/>
          <w:sz w:val="28"/>
          <w:szCs w:val="28"/>
          <w:lang w:val="pt-PT"/>
        </w:rPr>
      </w:pPr>
      <w:r w:rsidRPr="000270DA"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>Aumento do número dos espaços comerciais nos edifícios de habitação pública na Zona A dos Novos Aterros</w:t>
      </w:r>
    </w:p>
    <w:p w14:paraId="2B87C9F4" w14:textId="46E9043F" w:rsidR="00BD79BD" w:rsidRPr="000270DA" w:rsidRDefault="00BD79BD" w:rsidP="00BD79BD">
      <w:pPr>
        <w:ind w:firstLine="480"/>
        <w:jc w:val="both"/>
        <w:rPr>
          <w:rFonts w:ascii="Times New Roman" w:eastAsia="標楷體" w:hAnsi="Times New Roman" w:cs="Times New Roman"/>
          <w:sz w:val="28"/>
          <w:szCs w:val="28"/>
          <w:lang w:val="pt-PT"/>
        </w:rPr>
      </w:pPr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A partir de hoje (dia 27), os primeiros promitentes-compradores do Concurso de habitação económica de 2021 vão dirigir-se ao Instituto de Habitação (IH), de forma ordenada, para tratar das formalidades de entrega, podendo receber as chaves após o pagamento do valor das habitações e posteriormente, tratarem das formalidades relativas à administração dos edifícios nos</w:t>
      </w:r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postos de porteiros.</w:t>
      </w:r>
      <w:r w:rsidR="009F2328"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</w:t>
      </w:r>
      <w:r w:rsidR="009F2328"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Em articulação com as necessidades diárias dos moradores da Zona A dos Novos Aterros, o IH tem lançado sucessivamente concursos públicos para arrendamento de espaços comerciais.</w:t>
      </w:r>
      <w:r w:rsidR="00335732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</w:t>
      </w:r>
      <w:r w:rsidR="00335732"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Nos últimos meses entraram em funcionamento mais dois espaços comerciais nesta zona, uma loja de conveniência e outra loja de ferragens.</w:t>
      </w:r>
    </w:p>
    <w:p w14:paraId="7E1022D7" w14:textId="63DE96D9" w:rsidR="00403097" w:rsidRPr="000270DA" w:rsidRDefault="003202FF" w:rsidP="0087744C">
      <w:pPr>
        <w:ind w:firstLine="480"/>
        <w:jc w:val="both"/>
        <w:rPr>
          <w:rFonts w:ascii="Times New Roman" w:eastAsia="標楷體" w:hAnsi="Times New Roman" w:cs="Times New Roman" w:hint="eastAsia"/>
          <w:sz w:val="28"/>
          <w:szCs w:val="28"/>
          <w:lang w:val="pt-PT"/>
        </w:rPr>
      </w:pPr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Desde o dia 8 de </w:t>
      </w:r>
      <w:proofErr w:type="gramStart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Setembro</w:t>
      </w:r>
      <w:proofErr w:type="gramEnd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de 2026, o IH organizou</w:t>
      </w:r>
      <w:r w:rsidR="00701778">
        <w:rPr>
          <w:rFonts w:ascii="Times New Roman" w:eastAsia="標楷體" w:hAnsi="Times New Roman" w:cs="Times New Roman"/>
          <w:sz w:val="28"/>
          <w:szCs w:val="28"/>
          <w:lang w:val="pt-PT"/>
        </w:rPr>
        <w:t>, de forma ordenada,</w:t>
      </w:r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a escolha das </w:t>
      </w:r>
      <w:proofErr w:type="spellStart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pelos adquirentes </w:t>
      </w:r>
      <w:proofErr w:type="spellStart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seleccionados</w:t>
      </w:r>
      <w:proofErr w:type="spellEnd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</w:t>
      </w:r>
      <w:r w:rsidR="00403097">
        <w:rPr>
          <w:rFonts w:ascii="Times New Roman" w:eastAsia="標楷體" w:hAnsi="Times New Roman" w:cs="Times New Roman"/>
          <w:sz w:val="28"/>
          <w:szCs w:val="28"/>
          <w:lang w:val="pt-PT"/>
        </w:rPr>
        <w:t>que reúnem os requisitos após a apreciação da habilitação do</w:t>
      </w:r>
      <w:r w:rsidR="00403097" w:rsidRPr="00403097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</w:t>
      </w:r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Concurso de habitação económica de 2021. Até 23 de Outubro de 2026, 372 agregados familiares habilitados já escolheram as </w:t>
      </w:r>
      <w:proofErr w:type="spellStart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.</w:t>
      </w:r>
    </w:p>
    <w:p w14:paraId="79B0C404" w14:textId="6D4DE463" w:rsidR="007F6ABB" w:rsidRPr="0087744C" w:rsidRDefault="007F6ABB" w:rsidP="002C146C">
      <w:pPr>
        <w:ind w:firstLine="480"/>
        <w:jc w:val="both"/>
        <w:rPr>
          <w:rFonts w:ascii="Times New Roman" w:eastAsia="標楷體" w:hAnsi="Times New Roman" w:cs="Times New Roman" w:hint="eastAsia"/>
          <w:sz w:val="28"/>
          <w:szCs w:val="28"/>
          <w:lang w:val="pt-PT"/>
        </w:rPr>
      </w:pPr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O IH está a notificar, de forma ordenada, através de ofícios, os promitentes-compradores que reúnam as condições (ou seja, aqueles que declararam poder </w:t>
      </w:r>
      <w:proofErr w:type="spellStart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efectuar</w:t>
      </w:r>
      <w:proofErr w:type="spellEnd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o pagamento integral do valor das habitações ou a conclusão dos empréstimos hipotecários) para tratarem das formalidades relativas à entrega das habitações. De acordo com a data e a hora indicadas nos ofícios, pelo menos um dos promitentes-compradores deve dirigir-se à Delegação do Bairro da Ilha Verde do IH (Rua Sul do Canal dos Patos, n.º 23, Edifício do Bairro da Ilha Verde, r/c K, Macau) com todos os documentos necessários para o pagamento do valor da habitação e a </w:t>
      </w:r>
      <w:proofErr w:type="spellStart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recepção</w:t>
      </w:r>
      <w:proofErr w:type="spellEnd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das chaves da </w:t>
      </w:r>
      <w:proofErr w:type="spellStart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fracção</w:t>
      </w:r>
      <w:proofErr w:type="spellEnd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.</w:t>
      </w:r>
    </w:p>
    <w:p w14:paraId="2BC0118A" w14:textId="29011469" w:rsidR="001F4231" w:rsidRPr="000270DA" w:rsidRDefault="001F4231" w:rsidP="003D5CA3">
      <w:pPr>
        <w:ind w:firstLine="480"/>
        <w:jc w:val="both"/>
        <w:rPr>
          <w:rFonts w:ascii="Times New Roman" w:eastAsia="標楷體" w:hAnsi="Times New Roman" w:cs="Times New Roman"/>
          <w:sz w:val="28"/>
          <w:szCs w:val="28"/>
          <w:lang w:val="pt-PT"/>
        </w:rPr>
      </w:pPr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lastRenderedPageBreak/>
        <w:t xml:space="preserve">Após a </w:t>
      </w:r>
      <w:proofErr w:type="spellStart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recepção</w:t>
      </w:r>
      <w:proofErr w:type="spellEnd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das chaves das </w:t>
      </w:r>
      <w:proofErr w:type="spellStart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, os agregados familiares de habitação económica devem dirigir-se aos postos dos porteiros dos edifícios, na Zona A dos Novos Aterros, para </w:t>
      </w:r>
      <w:proofErr w:type="spellStart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efectuarem</w:t>
      </w:r>
      <w:proofErr w:type="spellEnd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o pagamento das cauções, receberem os cartões de acesso dos edifícios e tratarem das formalidades relativas à ocupação das </w:t>
      </w:r>
      <w:proofErr w:type="spellStart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. “As instruções para os proprietários e as regras de remodelação” dos edifícios já estão disponíveis na página </w:t>
      </w:r>
      <w:proofErr w:type="spellStart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electrónica</w:t>
      </w:r>
      <w:proofErr w:type="spellEnd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do IH para download. No caso de encontrarem eventuais defeitos nas </w:t>
      </w:r>
      <w:proofErr w:type="spellStart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 w:rsidRPr="0087744C">
        <w:rPr>
          <w:rFonts w:ascii="Times New Roman" w:eastAsia="標楷體" w:hAnsi="Times New Roman" w:cs="Times New Roman"/>
          <w:sz w:val="28"/>
          <w:szCs w:val="28"/>
          <w:lang w:val="pt-PT"/>
        </w:rPr>
        <w:t>, podem preencher as informações online, através da digitalização do código QR afixado nos postos dos porteiros, devendo os empreiteiros contactar os moradores para acompanhamento e reparação.</w:t>
      </w:r>
    </w:p>
    <w:p w14:paraId="206C544A" w14:textId="2648B953" w:rsidR="00CF3B9D" w:rsidRPr="002C146C" w:rsidRDefault="00922B7C" w:rsidP="0087744C">
      <w:pPr>
        <w:ind w:firstLine="480"/>
        <w:jc w:val="both"/>
        <w:rPr>
          <w:rFonts w:ascii="Times New Roman" w:eastAsia="標楷體" w:hAnsi="Times New Roman" w:cs="Times New Roman" w:hint="eastAsia"/>
          <w:sz w:val="28"/>
          <w:szCs w:val="28"/>
          <w:lang w:val="pt-PT"/>
        </w:rPr>
      </w:pPr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Além disso, o IH e a </w:t>
      </w:r>
      <w:proofErr w:type="spellStart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Direcção</w:t>
      </w:r>
      <w:proofErr w:type="spellEnd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dos Serviços de Obras Públicas deram a conhecer, em meados de Outubro, as instruções para obras de remodelação nas habitações que utilizaram elementos pré-fabricados na Zona A dos Novos Aterros aos agregados familiares </w:t>
      </w:r>
      <w:r w:rsidR="00CF3B9D"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que já escolheram as </w:t>
      </w:r>
      <w:proofErr w:type="spellStart"/>
      <w:r w:rsidR="00CF3B9D"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 w:rsidR="00CF3B9D"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do Concurso de habitação económica de 2021</w:t>
      </w:r>
      <w:r w:rsidR="00CF3B9D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</w:t>
      </w:r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e aos representantes do sector de obras, no sentido de prestar mais informações sobre os elementos pré-fabricados e os </w:t>
      </w:r>
      <w:proofErr w:type="spellStart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aspectos</w:t>
      </w:r>
      <w:proofErr w:type="spellEnd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a ter em conta respeitantes à remodelação de modo a estarem bem preparados para a ocupação das </w:t>
      </w:r>
      <w:proofErr w:type="spellStart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 w:rsidRPr="000270DA">
        <w:rPr>
          <w:rFonts w:ascii="Times New Roman" w:eastAsia="標楷體" w:hAnsi="Times New Roman" w:cs="Times New Roman"/>
          <w:sz w:val="28"/>
          <w:szCs w:val="28"/>
          <w:lang w:val="pt-PT"/>
        </w:rPr>
        <w:t>.</w:t>
      </w:r>
    </w:p>
    <w:sectPr w:rsidR="00CF3B9D" w:rsidRPr="002C146C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6B2E8" w14:textId="77777777" w:rsidR="000D1668" w:rsidRDefault="000D1668" w:rsidP="00E20B82">
      <w:pPr>
        <w:spacing w:after="0" w:line="240" w:lineRule="auto"/>
      </w:pPr>
      <w:r>
        <w:separator/>
      </w:r>
    </w:p>
  </w:endnote>
  <w:endnote w:type="continuationSeparator" w:id="0">
    <w:p w14:paraId="6CDD9047" w14:textId="77777777" w:rsidR="000D1668" w:rsidRDefault="000D1668" w:rsidP="00E20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17035" w14:textId="20F00EBC" w:rsidR="001842EE" w:rsidRPr="001842EE" w:rsidRDefault="001842EE" w:rsidP="001842EE">
    <w:pPr>
      <w:pStyle w:val="af0"/>
      <w:jc w:val="right"/>
    </w:pPr>
    <w:r w:rsidRPr="001842EE">
      <w:rPr>
        <w:lang w:val="zh-TW"/>
      </w:rPr>
      <w:t xml:space="preserve"> </w:t>
    </w:r>
    <w:r w:rsidRPr="001842EE">
      <w:fldChar w:fldCharType="begin"/>
    </w:r>
    <w:r w:rsidRPr="001842EE">
      <w:instrText>PAGE  \* Arabic  \* MERGEFORMAT</w:instrText>
    </w:r>
    <w:r w:rsidRPr="001842EE">
      <w:fldChar w:fldCharType="separate"/>
    </w:r>
    <w:r w:rsidRPr="001842EE">
      <w:rPr>
        <w:lang w:val="zh-TW"/>
      </w:rPr>
      <w:t>1</w:t>
    </w:r>
    <w:r w:rsidRPr="001842EE">
      <w:fldChar w:fldCharType="end"/>
    </w:r>
    <w:r w:rsidRPr="001842EE">
      <w:rPr>
        <w:rFonts w:hint="eastAsia"/>
        <w:lang w:val="zh-TW"/>
      </w:rPr>
      <w:t>/</w:t>
    </w:r>
    <w:fldSimple w:instr="NUMPAGES  \* Arabic  \* MERGEFORMAT">
      <w:r w:rsidRPr="001842EE">
        <w:rPr>
          <w:lang w:val="zh-TW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9F1DA" w14:textId="77777777" w:rsidR="000D1668" w:rsidRDefault="000D1668" w:rsidP="00E20B82">
      <w:pPr>
        <w:spacing w:after="0" w:line="240" w:lineRule="auto"/>
      </w:pPr>
      <w:r>
        <w:separator/>
      </w:r>
    </w:p>
  </w:footnote>
  <w:footnote w:type="continuationSeparator" w:id="0">
    <w:p w14:paraId="7D857BEC" w14:textId="77777777" w:rsidR="000D1668" w:rsidRDefault="000D1668" w:rsidP="00E20B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95"/>
    <w:rsid w:val="000270DA"/>
    <w:rsid w:val="000277E7"/>
    <w:rsid w:val="000738B7"/>
    <w:rsid w:val="000D1668"/>
    <w:rsid w:val="00183A3C"/>
    <w:rsid w:val="001842EE"/>
    <w:rsid w:val="001F4231"/>
    <w:rsid w:val="00227A5D"/>
    <w:rsid w:val="00233D5E"/>
    <w:rsid w:val="002B7089"/>
    <w:rsid w:val="002C146C"/>
    <w:rsid w:val="002D22F5"/>
    <w:rsid w:val="00304A27"/>
    <w:rsid w:val="003202FF"/>
    <w:rsid w:val="00335732"/>
    <w:rsid w:val="003424D8"/>
    <w:rsid w:val="00361C71"/>
    <w:rsid w:val="003779FB"/>
    <w:rsid w:val="00382BDC"/>
    <w:rsid w:val="003D5CA3"/>
    <w:rsid w:val="003E21E7"/>
    <w:rsid w:val="004026DD"/>
    <w:rsid w:val="00403097"/>
    <w:rsid w:val="004332E1"/>
    <w:rsid w:val="0045540D"/>
    <w:rsid w:val="004804A6"/>
    <w:rsid w:val="004E6A3A"/>
    <w:rsid w:val="005033CA"/>
    <w:rsid w:val="00513732"/>
    <w:rsid w:val="005535E6"/>
    <w:rsid w:val="005630BB"/>
    <w:rsid w:val="005707D0"/>
    <w:rsid w:val="005862C5"/>
    <w:rsid w:val="005A1468"/>
    <w:rsid w:val="00660D9C"/>
    <w:rsid w:val="006660F0"/>
    <w:rsid w:val="00674932"/>
    <w:rsid w:val="00682F89"/>
    <w:rsid w:val="00687253"/>
    <w:rsid w:val="006D1E34"/>
    <w:rsid w:val="006F0454"/>
    <w:rsid w:val="006F7DD6"/>
    <w:rsid w:val="00701778"/>
    <w:rsid w:val="00790266"/>
    <w:rsid w:val="007A106C"/>
    <w:rsid w:val="007A1D78"/>
    <w:rsid w:val="007C2E95"/>
    <w:rsid w:val="007F6ABB"/>
    <w:rsid w:val="007F79D7"/>
    <w:rsid w:val="00855C89"/>
    <w:rsid w:val="0086374A"/>
    <w:rsid w:val="00863898"/>
    <w:rsid w:val="00871AAF"/>
    <w:rsid w:val="0087744C"/>
    <w:rsid w:val="008A1BF6"/>
    <w:rsid w:val="008B71A2"/>
    <w:rsid w:val="00922B7C"/>
    <w:rsid w:val="00936F8A"/>
    <w:rsid w:val="00950C81"/>
    <w:rsid w:val="009C02A8"/>
    <w:rsid w:val="009F2328"/>
    <w:rsid w:val="00A521B8"/>
    <w:rsid w:val="00AA460F"/>
    <w:rsid w:val="00AC7927"/>
    <w:rsid w:val="00AD3A7B"/>
    <w:rsid w:val="00AE59C8"/>
    <w:rsid w:val="00B1798C"/>
    <w:rsid w:val="00B4269D"/>
    <w:rsid w:val="00B541B9"/>
    <w:rsid w:val="00B87FAC"/>
    <w:rsid w:val="00BA2F4A"/>
    <w:rsid w:val="00BA3303"/>
    <w:rsid w:val="00BB1E79"/>
    <w:rsid w:val="00BB7BBE"/>
    <w:rsid w:val="00BD79BD"/>
    <w:rsid w:val="00BE0FCD"/>
    <w:rsid w:val="00BF31D3"/>
    <w:rsid w:val="00C3154A"/>
    <w:rsid w:val="00C42612"/>
    <w:rsid w:val="00C50928"/>
    <w:rsid w:val="00C51742"/>
    <w:rsid w:val="00C769FA"/>
    <w:rsid w:val="00C81EAC"/>
    <w:rsid w:val="00C877D6"/>
    <w:rsid w:val="00CD57BA"/>
    <w:rsid w:val="00CE39B2"/>
    <w:rsid w:val="00CF3B9D"/>
    <w:rsid w:val="00D067A8"/>
    <w:rsid w:val="00D14C55"/>
    <w:rsid w:val="00D84FD8"/>
    <w:rsid w:val="00E20B82"/>
    <w:rsid w:val="00E45420"/>
    <w:rsid w:val="00E63477"/>
    <w:rsid w:val="00E76F0A"/>
    <w:rsid w:val="00E93B0B"/>
    <w:rsid w:val="00EA4389"/>
    <w:rsid w:val="00ED0548"/>
    <w:rsid w:val="00F05F68"/>
    <w:rsid w:val="00F1328E"/>
    <w:rsid w:val="00F4039F"/>
    <w:rsid w:val="00F443FD"/>
    <w:rsid w:val="00F65152"/>
    <w:rsid w:val="00F66986"/>
    <w:rsid w:val="00FB5FA8"/>
    <w:rsid w:val="00FD3567"/>
    <w:rsid w:val="00FF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2DB8A"/>
  <w15:chartTrackingRefBased/>
  <w15:docId w15:val="{B21ABAB8-E33E-46F9-A33A-C870ADCE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2E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E9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E9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E9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E9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E9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E9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C2E9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C2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C2E9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C2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C2E9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C2E9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C2E9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C2E9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C2E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E9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C2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E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C2E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2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C2E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2E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2E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2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C2E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2E9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20B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20B8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E20B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E20B82"/>
    <w:rPr>
      <w:sz w:val="20"/>
      <w:szCs w:val="20"/>
    </w:rPr>
  </w:style>
  <w:style w:type="paragraph" w:styleId="af2">
    <w:name w:val="Revision"/>
    <w:hidden/>
    <w:uiPriority w:val="99"/>
    <w:semiHidden/>
    <w:rsid w:val="004332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FB852FEC80449BACD26D25BBD876C" ma:contentTypeVersion="0" ma:contentTypeDescription="Create a new document." ma:contentTypeScope="" ma:versionID="9b8fefd331c3b782ade59fbb2db4de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E938A7-8135-4E5C-8EC6-8A81AC5EF3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F8ABB2-B16E-4FBE-B8BF-5041214230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31CA6B-367B-44A1-854E-1BD010508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Hilary, Choi Chi Ian</dc:creator>
  <cp:keywords/>
  <dc:description/>
  <cp:lastModifiedBy>Alex, Lei Sio Tong</cp:lastModifiedBy>
  <cp:revision>6</cp:revision>
  <cp:lastPrinted>2026-10-27T04:45:00Z</cp:lastPrinted>
  <dcterms:created xsi:type="dcterms:W3CDTF">2026-10-27T06:47:00Z</dcterms:created>
  <dcterms:modified xsi:type="dcterms:W3CDTF">2026-10-27T07:10:00Z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0x0101009F3FB852FEC80449BACD26D25BBD876C</vt:lpwstr>
  </property>
</Properties>
</file>