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3" w:rsidRPr="004337F4" w:rsidRDefault="00CF6E62" w:rsidP="004337F4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bookmarkStart w:id="0" w:name="_GoBack"/>
      <w:bookmarkEnd w:id="0"/>
      <w:r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2020</w:t>
      </w:r>
      <w:r w:rsidR="005663F2"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</w:t>
      </w:r>
      <w:r w:rsidR="005579B6"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1</w:t>
      </w:r>
      <w:r w:rsidR="005579B6"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月至</w:t>
      </w:r>
      <w:r w:rsidR="005579B6"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9</w:t>
      </w:r>
      <w:r w:rsidR="005579B6"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月</w:t>
      </w:r>
    </w:p>
    <w:p w:rsidR="002E3B4E" w:rsidRPr="004337F4" w:rsidRDefault="005663F2" w:rsidP="004337F4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337F4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:rsidR="0064765E" w:rsidRPr="00720510" w:rsidRDefault="00720510" w:rsidP="00720510">
      <w:pPr>
        <w:widowControl/>
        <w:overflowPunct w:val="0"/>
        <w:spacing w:beforeLines="150" w:before="540" w:line="500" w:lineRule="exact"/>
        <w:jc w:val="both"/>
        <w:rPr>
          <w:rFonts w:ascii="Times New Roman" w:eastAsia="SimSun" w:hAnsi="Times New Roman" w:cs="Times New Roman"/>
          <w:b/>
          <w:color w:val="000000"/>
          <w:spacing w:val="20"/>
          <w:kern w:val="0"/>
          <w:sz w:val="28"/>
          <w:szCs w:val="28"/>
          <w:lang w:val="pt-BR" w:eastAsia="zh-CN"/>
        </w:rPr>
      </w:pPr>
      <w:r w:rsidRPr="000245E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各位傳媒界的朋友：</w:t>
      </w:r>
    </w:p>
    <w:p w:rsidR="00F3496B" w:rsidRPr="004337F4" w:rsidRDefault="003D1639" w:rsidP="0064765E">
      <w:pPr>
        <w:widowControl/>
        <w:tabs>
          <w:tab w:val="left" w:pos="6804"/>
        </w:tabs>
        <w:overflowPunct w:val="0"/>
        <w:spacing w:beforeLines="50" w:before="18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新冠肺炎疫情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肆虐至今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337F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A63BE7" w:rsidRPr="004337F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球經濟與民生造成重創。特區政府果斷採取一系列防疫措施，阻斷了疫病的蔓延，</w:t>
      </w:r>
      <w:r w:rsidR="0083468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並長時間保持病例零增長，與內地實現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並逐漸擴大</w:t>
      </w:r>
      <w:r w:rsidR="0083468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了有條件的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人員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互通，為經濟的恢復帶來契機。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保安範疇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677DB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力</w:t>
      </w:r>
      <w:r w:rsidR="00A92BE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跟進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特區政府防疫工作的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同時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亦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密切留意</w:t>
      </w:r>
      <w:r w:rsidR="00A92BE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犯罪及不法行為的發展趨勢，及時採取有效措施進行預防和打擊。並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對各類</w:t>
      </w:r>
      <w:r w:rsidR="00DA1C1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罪案數字的增減以及與之相關的各種因素的變化</w:t>
      </w:r>
      <w:r w:rsidR="002152A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，及時作出分析並公開予公眾知悉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2E3B4E" w:rsidRPr="004337F4" w:rsidRDefault="00F52F6C" w:rsidP="004337F4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以下是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375A3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081FD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316CD8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首三季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的罪案統計及執法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數據，供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媒體及社會各界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參考：</w:t>
      </w:r>
    </w:p>
    <w:p w:rsidR="003C53E2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</w:t>
      </w:r>
      <w:r w:rsidR="008818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ab/>
      </w:r>
      <w:r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月至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，本澳警方共開立刑事專案調查案件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B47BD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</w:t>
      </w:r>
      <w:r w:rsidR="00410BD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與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2019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年同期相比減少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3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,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506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宗，下降百分之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3</w:t>
      </w:r>
      <w:r w:rsidR="00316CD8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3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.</w:t>
      </w:r>
      <w:r w:rsidR="00316CD8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1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。</w:t>
      </w:r>
    </w:p>
    <w:p w:rsidR="009E3DDC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="0088184B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ab/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“侵犯人身罪”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1,522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宗，同比減少百分之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19.3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</w:t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中“剝奪他人行動自由罪”或俗稱“非法禁錮”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的案件共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宗，比去年同期減少</w:t>
      </w:r>
      <w:r w:rsidR="004B0815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249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宗，大幅下降百分之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316CD8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“普通傷人”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898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88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宗，下降百分之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A235C7" w:rsidRPr="00A235C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</w:t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“強姦”案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件共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8E7AF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</w:t>
      </w:r>
      <w:r w:rsidR="004840DA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375A36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43.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“侮辱”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69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宗，比去年同期增加</w:t>
      </w:r>
      <w:r w:rsidR="004D60FC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4D60FC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4D60FC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F3496B" w:rsidRPr="0088184B">
        <w:rPr>
          <w:rFonts w:ascii="標楷體" w:eastAsia="標楷體" w:hAnsi="標楷體" w:cs="Times New Roman"/>
          <w:color w:val="000000"/>
          <w:spacing w:val="20"/>
          <w:kern w:val="0"/>
          <w:sz w:val="28"/>
          <w:szCs w:val="28"/>
          <w:lang w:val="pt-BR"/>
        </w:rPr>
        <w:t>“對兒童的性侵犯”案件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4D60FC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AB6773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63.6</w:t>
      </w:r>
      <w:r w:rsidR="00F3496B" w:rsidRPr="004337F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1.2.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F3496B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“侵犯財產罪”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共有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3,913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宗，與去年同期相比減少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2,626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="000A60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。其中俗</w:t>
      </w:r>
      <w:r w:rsidR="00F3496B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稱“高利貸”的“暴利”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57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宗，比去年同期減少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415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宗，大幅下降百分之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87</w:t>
      </w:r>
      <w:r w:rsidR="000A60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F3496B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“詐騙”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671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388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36.6</w:t>
      </w:r>
      <w:r w:rsidR="00F3496B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；“盜竊”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920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宗，減少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1,078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54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DC4089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1.3.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“妨害社會生活罪”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455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B46D4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276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.8</w:t>
      </w:r>
      <w:r w:rsidR="0096746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</w:t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“行使他人證件”</w:t>
      </w:r>
      <w:r w:rsidR="006374A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71</w:t>
      </w:r>
      <w:r w:rsidR="006374A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增加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26</w:t>
      </w:r>
      <w:r w:rsidR="006374A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，上升百分之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57.8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“偽造文件”及“縱火”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分別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錄得</w:t>
      </w:r>
      <w:r w:rsidR="00EB5A3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222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宗與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23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141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宗及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15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38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407BE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39.5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251B6F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1.4.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“妨害本地區罪”</w:t>
      </w:r>
      <w:r w:rsidR="005663F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共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錄得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346</w:t>
      </w:r>
      <w:r w:rsidR="0096746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宗，與去年同期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相比減少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238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96746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“違令”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共錄得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224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A235C7" w:rsidRPr="00CA77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07119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去年同期減少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147</w:t>
      </w:r>
      <w:r w:rsidR="0007119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下降百分之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.6</w:t>
      </w:r>
      <w:r w:rsidR="0096746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而“作虛假聲明”</w:t>
      </w:r>
      <w:r w:rsidR="0007119F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案</w:t>
      </w:r>
      <w:r w:rsidR="0007119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件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80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07119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71</w:t>
      </w:r>
      <w:r w:rsidR="000338A7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下降百分之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47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2E3B4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</w:p>
    <w:p w:rsidR="008124DB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1.5.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“未納入其他組別的罪案”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（單行刑事法例）共有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856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A63BE7" w:rsidRPr="00A63BE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同期基本持平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</w:t>
      </w:r>
      <w:r w:rsidR="004B0EB6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“販賣毒品”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41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3.6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4B0EB6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“電腦犯罪”</w:t>
      </w:r>
      <w:r w:rsidR="00AB7B08" w:rsidRPr="0083468D">
        <w:rPr>
          <w:rFonts w:ascii="Times New Roman" w:eastAsia="標楷體" w:hAnsi="Times New Roman" w:cs="Times New Roman" w:hint="eastAsia"/>
          <w:color w:val="000000" w:themeColor="text1"/>
          <w:spacing w:val="20"/>
          <w:kern w:val="0"/>
          <w:sz w:val="28"/>
          <w:szCs w:val="28"/>
          <w:lang w:val="pt-BR" w:eastAsia="zh-HK"/>
        </w:rPr>
        <w:t>共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96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宗，減少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09348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3.4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251B6F" w:rsidRPr="004337F4" w:rsidRDefault="00723A8E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2.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個月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暴力罪案共錄得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169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4B0EB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去年同期減少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354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871D7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大幅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67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F094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</w:t>
      </w:r>
      <w:r w:rsidR="007F094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中</w:t>
      </w:r>
      <w:r w:rsidR="0096746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“綁架”、“殺人”及“嚴重傷人”等涉及</w:t>
      </w:r>
      <w:r w:rsidR="0096746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嚴重暴力犯罪的</w:t>
      </w:r>
      <w:r w:rsidR="00CF6E6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案件，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繼續保持低案發</w:t>
      </w:r>
      <w:r w:rsidR="00B47B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率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的良好</w:t>
      </w:r>
      <w:r w:rsidR="00B47B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局面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DF49DE" w:rsidRPr="004337F4" w:rsidRDefault="00482E43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723A8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B47B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在預防與打擊非法入境方面，今年首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三</w:t>
      </w:r>
      <w:r w:rsidR="00B47B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季截獲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非法入境者共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464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名，比去年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287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EB5A3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057F6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375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人來自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中國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內地，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89</w:t>
      </w:r>
      <w:r w:rsidR="00057F6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人來自其他國家。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逾期逗留人士共</w:t>
      </w:r>
      <w:r w:rsidR="00B47BD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125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人，同比減少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12,183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人，下降百分之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60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482E43" w:rsidRPr="004337F4" w:rsidRDefault="00482E43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青少年犯罪的案件共有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宗，比去年同期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057F6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宗，涉及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青少年共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59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人。</w:t>
      </w:r>
    </w:p>
    <w:p w:rsidR="00482E43" w:rsidRPr="004337F4" w:rsidRDefault="00482E43" w:rsidP="004337F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今年首</w:t>
      </w:r>
      <w:r w:rsidR="00BF313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三季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的警務行動和偵查行動期間，共有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555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人被拘留及送交檢察院處理，比去年同期</w:t>
      </w:r>
      <w:r w:rsidR="00AD2A8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447</w:t>
      </w:r>
      <w:r w:rsidR="00F3496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8E6B2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48.9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BF3132" w:rsidRPr="00EB6868" w:rsidRDefault="00DF49DE" w:rsidP="001951CA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highlight w:val="yellow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720510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隨著</w:t>
      </w:r>
      <w:r w:rsidR="00CF6E6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</w:t>
      </w:r>
      <w:r w:rsidR="00CF6E6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稱“新的士法”</w:t>
      </w:r>
      <w:r w:rsidR="00CF6E6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的《輕型出租汽車客運法律制度》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有效執法</w:t>
      </w:r>
      <w:r w:rsidR="00720510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以及疫情</w:t>
      </w:r>
      <w:r w:rsidR="00AB7B08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引</w:t>
      </w:r>
      <w:r w:rsidR="00720510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致遊客減少的</w:t>
      </w:r>
      <w:r w:rsidR="00710DED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影響</w:t>
      </w:r>
      <w:r w:rsidR="00CF6E6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，的士違規個案數量持續</w:t>
      </w:r>
      <w:r w:rsidR="005E1C9A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</w:t>
      </w:r>
      <w:r w:rsidR="00CF6E6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今年首三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季，警方合共檢控的士違規個案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93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去年同期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EB5A3D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901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宗，下降了百分之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96.9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。當中濫收車資共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6E651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E11CCF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；拒載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27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宗，降低百分之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95</w:t>
      </w:r>
      <w:r w:rsidR="006E651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其他違例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63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下降百分之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87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。此外，警方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共檢控俗</w:t>
      </w:r>
      <w:r w:rsidR="005663F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稱</w:t>
      </w:r>
      <w:r w:rsidR="00244F3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“白牌車”</w:t>
      </w:r>
      <w:r w:rsidR="005663F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的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非法載客</w:t>
      </w:r>
      <w:r w:rsidR="00AD2A8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B47BD6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減少了百分之</w:t>
      </w:r>
      <w:r w:rsidR="006663B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52.5</w:t>
      </w:r>
      <w:r w:rsidR="00BE292B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月起，的士車載智能終端系統</w:t>
      </w:r>
      <w:r w:rsidR="00AB7B08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已</w:t>
      </w:r>
      <w:r w:rsidR="00721C5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開始</w:t>
      </w:r>
      <w:r w:rsidR="00DD1034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陸續</w:t>
      </w:r>
      <w:r w:rsidR="00707835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安裝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195D5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該</w:t>
      </w:r>
      <w:r w:rsidR="005111F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系統</w:t>
      </w:r>
      <w:r w:rsidR="0043797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有助於減少司機與乘客間不必要的糾紛</w:t>
      </w:r>
      <w:r w:rsidR="00721C5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43797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並為警方執法提供依據。依照規定，</w:t>
      </w:r>
      <w:r w:rsidR="00AB7B08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今年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</w:t>
      </w:r>
      <w:r w:rsidR="00AB7B08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lastRenderedPageBreak/>
        <w:t>前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本澳所有的士</w:t>
      </w:r>
      <w:r w:rsidR="00AB7B08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必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須安裝</w:t>
      </w:r>
      <w:r w:rsidR="0004167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完畢</w:t>
      </w:r>
      <w:r w:rsidR="0043797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該</w:t>
      </w:r>
      <w:r w:rsidR="005111F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智能終端系統，屆時違規個案將有望進一步下降</w:t>
      </w:r>
      <w:r w:rsidR="00551159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4C0AD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</w:t>
      </w:r>
      <w:r w:rsidR="005A085A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警方將繼續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嚴格執法，</w:t>
      </w:r>
      <w:r w:rsidR="001951C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1951CA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與交通管理部門保持密切合作</w:t>
      </w:r>
      <w:r w:rsidR="001951C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A085A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保障</w:t>
      </w:r>
      <w:r w:rsidR="00DA056E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</w:t>
      </w:r>
      <w:r w:rsidR="004A1D39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5A085A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出行安全與便利</w:t>
      </w:r>
      <w:r w:rsidR="005663F2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9964A1" w:rsidRPr="004337F4" w:rsidRDefault="00482E43" w:rsidP="004337F4">
      <w:pPr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 w:eastAsia="zh-CN"/>
        </w:rPr>
        <w:t>7</w:t>
      </w:r>
      <w:r w:rsidR="00723A8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8818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5663F2" w:rsidRPr="004337F4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總結</w:t>
      </w:r>
      <w:r w:rsidR="005C4BE3" w:rsidRPr="004337F4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：</w:t>
      </w:r>
    </w:p>
    <w:p w:rsidR="001D30C3" w:rsidRPr="004337F4" w:rsidRDefault="005663F2" w:rsidP="004337F4">
      <w:pPr>
        <w:pStyle w:val="a7"/>
        <w:numPr>
          <w:ilvl w:val="0"/>
          <w:numId w:val="1"/>
        </w:numPr>
        <w:overflowPunct w:val="0"/>
        <w:spacing w:beforeLines="50" w:before="18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總結</w:t>
      </w:r>
      <w:r w:rsidR="00723A8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546EC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5E1C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5E1C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月至</w:t>
      </w:r>
      <w:r w:rsidR="005E1C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5E1C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罪案</w:t>
      </w:r>
      <w:r w:rsidR="0001174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和執法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統計數字，</w:t>
      </w:r>
      <w:r w:rsidR="00871D72" w:rsidRPr="00DD10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受疫情</w:t>
      </w:r>
      <w:r w:rsidR="00DE5D80" w:rsidRPr="00DD10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影響</w:t>
      </w:r>
      <w:r w:rsidR="00871D72" w:rsidRPr="00DD10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及警方加強執法</w:t>
      </w:r>
      <w:r w:rsidR="00871D7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，本澳整體犯罪數量持續下降</w:t>
      </w:r>
      <w:r w:rsidR="00DF497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，總體治安態勢良好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當然</w:t>
      </w:r>
      <w:r w:rsidR="0083468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隨著</w:t>
      </w:r>
      <w:r w:rsidR="0083468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本澳進一步放寬入境政策，遊客數量將可能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逐漸</w:t>
      </w:r>
      <w:r w:rsidR="00871D7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增加，</w:t>
      </w:r>
      <w:r w:rsidR="00EB5A3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從而帶來</w:t>
      </w:r>
      <w:r w:rsidR="001C19E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不確定因素，對此警方</w:t>
      </w:r>
      <w:r w:rsidR="00EB5A3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</w:t>
      </w:r>
      <w:r w:rsidR="009D57B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提前制定了相關策略</w:t>
      </w:r>
      <w:r w:rsidR="00EB5A3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，將適時調整警力部署，以應對可能出現的變化</w:t>
      </w:r>
      <w:r w:rsidR="009D57B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482E43" w:rsidRPr="00721C5E" w:rsidRDefault="00B82EF5" w:rsidP="00721C5E">
      <w:pPr>
        <w:pStyle w:val="a7"/>
        <w:numPr>
          <w:ilvl w:val="0"/>
          <w:numId w:val="1"/>
        </w:numPr>
        <w:overflowPunct w:val="0"/>
        <w:spacing w:beforeLines="50" w:before="18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年首三季共有</w:t>
      </w:r>
      <w:r w:rsidR="00482E4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482E4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殺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</w:t>
      </w:r>
      <w:r w:rsidR="00482E4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</w:t>
      </w:r>
      <w:r w:rsidR="000C6A7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件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，全部</w:t>
      </w:r>
      <w:r w:rsidR="003610EB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上半年發生</w:t>
      </w:r>
      <w:r w:rsidR="00BB2CA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一宗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發生於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19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日，一名內地女子因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感情糾葛</w:t>
      </w:r>
      <w:r w:rsidR="0001069E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持刀襲擊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其前男友家人，</w:t>
      </w:r>
      <w:r w:rsidR="00511395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致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一死兩傷</w:t>
      </w:r>
      <w:r w:rsidR="000C6A7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另一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宗案件發生於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，一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男子因家庭糾紛而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將</w:t>
      </w:r>
      <w:r w:rsidR="00F67ED0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其妻子</w:t>
      </w:r>
      <w:r w:rsidR="00F1231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殺害</w:t>
      </w:r>
      <w:r w:rsidR="00BB2CA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兩宗案件</w:t>
      </w:r>
      <w:r w:rsidR="00974C26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雖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迅速偵破，</w:t>
      </w:r>
      <w:r w:rsidR="00974C26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但案件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背後所反映出</w:t>
      </w:r>
      <w:r w:rsidR="00BB2CA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的家庭倫理</w:t>
      </w:r>
      <w:r w:rsidR="006B316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</w:t>
      </w:r>
      <w:r w:rsidR="00EB5A3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個人安全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問題值得</w:t>
      </w:r>
      <w:r w:rsidR="00EB5A3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0C6A7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社會共同</w:t>
      </w:r>
      <w:r w:rsidR="00546EC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關注</w:t>
      </w:r>
      <w:r w:rsidR="006B316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974C26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警覺</w:t>
      </w:r>
      <w:r w:rsidR="00F53593" w:rsidRPr="00721C5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F53593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F53593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將</w:t>
      </w:r>
      <w:r w:rsidR="00721C5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繼續加強與社團、坊會的聯絡</w:t>
      </w:r>
      <w:r w:rsidR="00DD1034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21C5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持續完善及深化“社區警務聯絡機制”，</w:t>
      </w:r>
      <w:r w:rsidR="00DD1034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以便能</w:t>
      </w:r>
      <w:r w:rsidR="00F53593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更主動地發現相關犯罪行為</w:t>
      </w:r>
      <w:r w:rsidR="0083468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的跡象</w:t>
      </w:r>
      <w:r w:rsidR="00721C5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F53593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同時也呼籲</w:t>
      </w:r>
      <w:r w:rsidR="00511395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示</w:t>
      </w:r>
      <w:r w:rsidR="0004639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公眾注意</w:t>
      </w:r>
      <w:r w:rsidR="00974C26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人身</w:t>
      </w:r>
      <w:r w:rsidR="0004639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安全</w:t>
      </w:r>
      <w:r w:rsidR="00F53593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以及妥善處理家庭問題</w:t>
      </w:r>
      <w:r w:rsidR="0004639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974C26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警惕一些反常情況，</w:t>
      </w:r>
      <w:r w:rsidR="00511395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倘若</w:t>
      </w:r>
      <w:r w:rsidR="00F53593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遭遇家暴或其他危險情況，應盡快報案求助，</w:t>
      </w:r>
      <w:r w:rsidR="003610EB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使</w:t>
      </w:r>
      <w:r w:rsidR="00F53593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警方及時介入</w:t>
      </w:r>
      <w:r w:rsidR="00046397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2B357E" w:rsidRPr="00053344" w:rsidRDefault="000C6A71" w:rsidP="004337F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今年首</w:t>
      </w:r>
      <w:r w:rsidR="00295A7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295A7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</w:t>
      </w:r>
      <w:r w:rsidR="00295A74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月</w:t>
      </w: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“強姦”、“</w:t>
      </w:r>
      <w:r w:rsidR="0095359A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性騷擾</w:t>
      </w: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”等</w:t>
      </w:r>
      <w:r w:rsidR="006B316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性犯罪</w:t>
      </w: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6B316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數量</w:t>
      </w: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都有明顯下降，</w:t>
      </w:r>
      <w:r w:rsidR="00BB115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但</w:t>
      </w: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“對兒童的性侵犯”</w:t>
      </w:r>
      <w:r w:rsidR="00295A74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、“與未成年人有關的色情物品罪”</w:t>
      </w: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案</w:t>
      </w: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件</w:t>
      </w:r>
      <w:r w:rsidR="00BB115D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卻</w:t>
      </w:r>
      <w:r w:rsidR="001E7D16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有所</w:t>
      </w:r>
      <w:r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上升。</w:t>
      </w:r>
      <w:r w:rsidR="0095359A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數據顯示</w:t>
      </w:r>
      <w:r w:rsidR="0095359A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，“對</w:t>
      </w:r>
      <w:r w:rsidR="0095359A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lastRenderedPageBreak/>
        <w:t>兒童的性侵犯”</w:t>
      </w:r>
      <w:r w:rsidR="008B682E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案件</w:t>
      </w:r>
      <w:r w:rsidR="0095359A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多發生於學校</w:t>
      </w:r>
      <w:r w:rsidR="0095359A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或</w:t>
      </w:r>
      <w:r w:rsidR="00501772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家庭環境之中，侵害者多為被害人的親屬、同學或老師</w:t>
      </w:r>
      <w:r w:rsidR="008B682E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；此外，年齡較大的被害人多數為自願發生性行為</w:t>
      </w:r>
      <w:r w:rsidR="001E7D16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2396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針對這一情況，警方在加強打擊此類犯罪的同時，</w:t>
      </w:r>
      <w:r w:rsidR="008B682E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積極</w:t>
      </w:r>
      <w:r w:rsidR="00A23964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配合相關部門</w:t>
      </w:r>
      <w:r w:rsidR="009D57BC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進入社區、學校等開展</w:t>
      </w:r>
      <w:r w:rsidR="00F53593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宣傳教育工作</w:t>
      </w:r>
      <w:r w:rsidR="00BE6CF1" w:rsidRPr="00721C5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BE6CF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倡導家長與教職工應更多關注青少年的行為及心理變化，同時</w:t>
      </w:r>
      <w:r w:rsidR="00F56EC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向</w:t>
      </w:r>
      <w:r w:rsidR="00BE6CF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未成年人</w:t>
      </w:r>
      <w:r w:rsidR="00F56ECE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灌輸</w:t>
      </w:r>
      <w:r w:rsidR="00BE6CF1" w:rsidRPr="00721C5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預防性侵的知識與自我保護意識。</w:t>
      </w:r>
      <w:r w:rsidR="00F53593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CC529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CC529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月至</w:t>
      </w:r>
      <w:r w:rsidR="00CC529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</w:t>
      </w:r>
      <w:r w:rsidR="00CC529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F53593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，警方派員前往各個學校共舉辦</w:t>
      </w:r>
      <w:r w:rsidR="00CC529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22</w:t>
      </w:r>
      <w:r w:rsidR="00F53593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場“預防性侵及求助方法專題講座”，</w:t>
      </w:r>
      <w:r w:rsidR="00F5474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F5474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1,827</w:t>
      </w:r>
      <w:r w:rsidR="00F5474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名學生</w:t>
      </w:r>
      <w:r w:rsidR="00F54740" w:rsidRPr="00053344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r w:rsidR="00F54740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家長及教職員參加</w:t>
      </w:r>
      <w:r w:rsidR="00BE6CF1" w:rsidRPr="000533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D977E6" w:rsidRPr="001C140A" w:rsidRDefault="00EB1672" w:rsidP="001951CA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“與未成年人有關的色情物品罪”案件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數量</w:t>
      </w:r>
      <w:r w:rsidR="00A74089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也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有所上升，</w:t>
      </w:r>
      <w:r w:rsidR="00BE6CF1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嫌犯透過</w:t>
      </w:r>
      <w:r w:rsidR="00BE6CF1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社交平台或通訊軟件轉發事先下載的未成年人色情影片或圖片</w:t>
      </w:r>
      <w:r w:rsidR="00BE6CF1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，由於</w:t>
      </w:r>
      <w:r w:rsidR="005111F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平台或軟件的服務器地址為本澳境外，因此這類</w:t>
      </w:r>
      <w:r w:rsidR="00FA05A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</w:t>
      </w:r>
      <w:r w:rsidR="005111F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以往很難</w:t>
      </w:r>
      <w:r w:rsidR="00FA05A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被發現</w:t>
      </w:r>
      <w:r w:rsidR="005111F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1951CA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察覺</w:t>
      </w:r>
      <w:r w:rsidR="00FA05A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1C140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針對這一情況，</w:t>
      </w:r>
      <w:r w:rsidR="005111F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FA05AB" w:rsidRPr="00EB686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本澳警方加強了與國際刑警組織間的情報交流，並與多個國家和地區建立了相關合作機制及情報平台，</w:t>
      </w:r>
      <w:r w:rsidR="001951C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獲取了大量線索與情報，從而得以偵破</w:t>
      </w:r>
      <w:r w:rsidR="005111F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此類</w:t>
      </w:r>
      <w:r w:rsidR="001951CA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案件。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上述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機制及有效的偵查措施，今年首三季</w:t>
      </w:r>
      <w:r w:rsidR="005902D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共偵破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59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宗與未成年人有關的色情物品案件，</w:t>
      </w:r>
      <w:r w:rsidR="005902D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將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29</w:t>
      </w:r>
      <w:r w:rsidR="00A8645A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名嫌犯移送司法機關處理。</w:t>
      </w:r>
      <w:r w:rsidR="00DB6E63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調查顯示，上述案件中的嫌疑人多數為任職於本澳的外地僱員，且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多數嫌犯</w:t>
      </w:r>
      <w:r w:rsidR="00DB6E63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表示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並不知</w:t>
      </w:r>
      <w:r w:rsidR="00EC0EC4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道</w:t>
      </w:r>
      <w:r w:rsid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自己的行為觸犯刑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法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DB6E63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針對這種情況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，警方透過傳統媒體及新媒體等多種渠道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公佈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了上述案件的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破案訊息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，並推出了多種語言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的防罪宣傳內容</w:t>
      </w:r>
      <w:r w:rsidR="001B158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</w:t>
      </w:r>
      <w:r w:rsidR="006B316D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提高</w:t>
      </w:r>
      <w:r w:rsidR="00EC0EC4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不同族群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對本澳</w:t>
      </w:r>
      <w:r w:rsidR="005B3E68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法律的認識</w:t>
      </w:r>
      <w:r w:rsidR="00DB6E63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程度</w:t>
      </w:r>
      <w:r w:rsidR="005B3E68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，避免誤墮法網</w:t>
      </w:r>
      <w:r w:rsidR="00D977E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88184B" w:rsidRDefault="0088184B">
      <w:pPr>
        <w:widowControl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br w:type="page"/>
      </w:r>
    </w:p>
    <w:p w:rsidR="00070AC2" w:rsidRPr="001C140A" w:rsidRDefault="000C1480" w:rsidP="00070AC2">
      <w:pPr>
        <w:pStyle w:val="a7"/>
        <w:numPr>
          <w:ilvl w:val="0"/>
          <w:numId w:val="1"/>
        </w:numPr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首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個月</w:t>
      </w:r>
      <w:r w:rsidR="0021552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縱火案共有</w:t>
      </w:r>
      <w:r w:rsidR="00F1627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23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F1627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15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F1627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</w:t>
      </w:r>
      <w:r w:rsidR="00F84A0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F1627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</w:t>
      </w:r>
      <w:r w:rsidR="00F1627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13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宗已偵破</w:t>
      </w:r>
      <w:r w:rsidR="00974C2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A7039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亂丟</w:t>
      </w:r>
      <w:r w:rsidR="00974C26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煙蒂</w:t>
      </w:r>
      <w:r w:rsidR="00F84A0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仍是引致火警的主要原因</w:t>
      </w:r>
      <w:r w:rsidR="004C39AB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為增強公眾的防火意識，消防局首三季共舉辦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36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次防火知識講座，共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2,252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人次參與。</w:t>
      </w:r>
      <w:r w:rsidR="00070AC2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，該局</w:t>
      </w:r>
      <w:r w:rsidR="00DF4975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</w:t>
      </w:r>
      <w:r w:rsidR="00FD36E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了社區、大廈以及其他公共場所的防火安全巡查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工作</w:t>
      </w:r>
      <w:r w:rsidR="00DF4975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FD36E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並與民間坊會合作</w:t>
      </w:r>
      <w:r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</w:t>
      </w:r>
      <w:r w:rsidR="00FD36E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進行入戶爐具檢查</w:t>
      </w:r>
      <w:r w:rsidR="001D1862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，向住戶講授防火安全常識</w:t>
      </w:r>
      <w:r w:rsidR="00FD36EF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1D1862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</w:t>
      </w:r>
      <w:r w:rsidR="00070AC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方</w:t>
      </w:r>
      <w:r w:rsidR="00070AC2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</w:t>
      </w:r>
      <w:r w:rsidR="00070AC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</w:t>
      </w:r>
      <w:r w:rsidR="001D1862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網絡平台專頁、社交軟件官方賬號等</w:t>
      </w:r>
      <w:r w:rsidR="001D186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多種渠道</w:t>
      </w:r>
      <w:r w:rsidR="00EC0EC4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反覆</w:t>
      </w:r>
      <w:r w:rsidR="00070AC2" w:rsidRPr="001C14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強調過失引致火警同樣需要承擔刑事責任。</w:t>
      </w:r>
    </w:p>
    <w:p w:rsidR="00A53740" w:rsidRPr="00070AC2" w:rsidRDefault="00C50C01" w:rsidP="00070AC2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</w:t>
      </w:r>
      <w:r w:rsidR="0098264E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年初</w:t>
      </w:r>
      <w:r w:rsidR="00DB6E63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開始</w:t>
      </w:r>
      <w:r w:rsidR="0098264E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新冠肺炎</w:t>
      </w:r>
      <w:r w:rsidR="0098264E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</w:t>
      </w:r>
      <w:r w:rsidR="00DB6E63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席捲全球</w:t>
      </w:r>
      <w:r w:rsid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特區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政府採取</w:t>
      </w:r>
      <w:r w:rsidR="006B316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</w:t>
      </w:r>
      <w:r w:rsidR="009C6F38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一系列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有效的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應對措施，社會各界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亦全力配合</w:t>
      </w:r>
      <w:r w:rsid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迅速遏止</w:t>
      </w:r>
      <w:r w:rsidR="006B316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疫情的蔓延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。然而，</w:t>
      </w:r>
      <w:r w:rsid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不法分子卻藉機牟取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利益，</w:t>
      </w:r>
      <w:r w:rsidR="006C772C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透過網絡等途徑</w:t>
      </w:r>
      <w:r w:rsidR="00105056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假借售賣醫療物品的名義行騙，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或非法使用他人證件購買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醫療物資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再轉賣。</w:t>
      </w:r>
      <w:r w:rsidR="00101B58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對此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，警方加大了巡查與打擊力度，並先後發佈了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29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則警情通告，呼籲市民與商家切勿從不明渠道購買醫療物品</w:t>
      </w:r>
      <w:r w:rsidR="00DB6E63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，並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保護好個人證件及相關個人信息，避免被不法者利用。</w:t>
      </w:r>
      <w:r w:rsidR="00101B58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上述</w:t>
      </w:r>
      <w:r w:rsidR="00101B58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措施，相關案件數量已明顯</w:t>
      </w:r>
      <w:r w:rsidR="00814F01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A5374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117E1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首三季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宗非法使用他人證件購買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口罩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6E63DE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宗防疫物資</w:t>
      </w:r>
      <w:r w:rsidR="006E63DE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詐騙案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第三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季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的案件數量分別為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E354F2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DE5D8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C71E0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佔總數的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5.7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與百分之</w:t>
      </w:r>
      <w:r w:rsidR="00FE19CD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="009A4D60" w:rsidRPr="00070AC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C6101A" w:rsidRPr="004337F4" w:rsidRDefault="00B65258" w:rsidP="004337F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“反偷渡工作聯防機制”持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續發揮重要作用，今年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首三季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334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共查獲協助偷渡案</w:t>
      </w:r>
      <w:r w:rsidR="006B316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31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9857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28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9857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47.5</w:t>
      </w:r>
      <w:r w:rsidR="0078367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3D1639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查獲“蛇頭”</w:t>
      </w:r>
      <w:r w:rsidR="006B316D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40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人，同比減少</w:t>
      </w:r>
      <w:r w:rsidR="0098579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52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人，下降百分之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56.5</w:t>
      </w:r>
      <w:r w:rsidR="00AB47D1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此外，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4B0815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個月</w:t>
      </w:r>
      <w:r w:rsidR="00FE19C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</w:t>
      </w:r>
      <w:r w:rsidR="005E5733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與內地警方</w:t>
      </w:r>
      <w:r w:rsidR="00FE19C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透過該</w:t>
      </w:r>
      <w:r w:rsidR="00FE19C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聯防機制</w:t>
      </w:r>
      <w:r w:rsidR="005E5733" w:rsidRPr="005E573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開展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次聯合行動，成功瓦解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2A51E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個協助偷渡犯罪集團</w:t>
      </w:r>
      <w:r w:rsidR="00FE19C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25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深夜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，澳珠兩地警方根據情報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展開聯合行動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，共同搗破一個協助偷渡集團，拘捕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包括該集團首腦在內的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名成員及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054D94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名非法入境者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="0021552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</w:t>
      </w:r>
      <w:r w:rsidR="0021552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兩地</w:t>
      </w:r>
      <w:r w:rsidR="00215526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3E698A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再次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</w:t>
      </w:r>
      <w:r w:rsidR="00B0466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，成功破獲一個</w:t>
      </w:r>
      <w:r w:rsidR="00033A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協助偷渡集團，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在兩地共</w:t>
      </w:r>
      <w:r w:rsidR="00B0466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抓獲了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集團首腦及成員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人及非法入境者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</w:t>
      </w:r>
      <w:r w:rsidR="00B0466F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44674B" w:rsidRPr="004337F4" w:rsidRDefault="00871B31" w:rsidP="004337F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底，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海域智能監控系統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完成建設並正式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投入使用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。該系統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可利用遠距離紅外線熱成像技術實現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對本澳全部海域的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全天候監控，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並可以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</w:t>
      </w:r>
      <w:r w:rsidR="0044674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人工智能技術對</w:t>
      </w:r>
      <w:r w:rsidRPr="00871B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進入本澳海域範圍的可疑目標進行自動識別與追蹤</w:t>
      </w:r>
      <w:r w:rsidR="00504CF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以此系統為核心，</w:t>
      </w:r>
      <w:r w:rsidR="00504CF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澳門海關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現階段正構建新型巡邏模式，配合</w:t>
      </w:r>
      <w:r w:rsidR="00504CF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與鄰近地區已建立的情報交流機制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，對</w:t>
      </w:r>
      <w:r w:rsidR="00504CF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海域犯罪活動展開全面的</w:t>
      </w:r>
      <w:r w:rsidR="008B045B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監控分析，</w:t>
      </w:r>
      <w:r w:rsidR="00504CFE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有效加強海關的海域管理與執法能力。</w:t>
      </w:r>
    </w:p>
    <w:p w:rsidR="00FE19CD" w:rsidRPr="00363531" w:rsidRDefault="00FE19CD" w:rsidP="004337F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</w:t>
      </w:r>
      <w:r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月至</w:t>
      </w:r>
      <w:r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月，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不法賭博案件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的數量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明顯上升，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52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宗，比去年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同期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宗增加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41</w:t>
      </w:r>
      <w:r w:rsidR="00814F01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宗。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調查顯示，上述案件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涉及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非法私設賭局，或非法經營可供博彩的棋牌室、麻將館及娛樂場的情況居多，其中更不乏使用</w:t>
      </w:r>
      <w:r w:rsidR="0040222D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“出千”等</w:t>
      </w:r>
      <w:r w:rsidR="0040222D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行為的欺詐性賭博。</w:t>
      </w:r>
      <w:r w:rsidR="00384FA9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對此，警方持續對公園、社區、大廈等場所進行巡查，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並根據</w:t>
      </w:r>
      <w:r w:rsidR="00384FA9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相關情報或舉報迅速派員前往現場查看</w:t>
      </w:r>
      <w:r w:rsidR="00F3582A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與此</w:t>
      </w:r>
      <w:r w:rsidR="00F3582A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同時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A74089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透過多種渠道</w:t>
      </w:r>
      <w:r w:rsidR="00BA7DBB" w:rsidRPr="0036353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</w:t>
      </w:r>
      <w:r w:rsidR="00A74089" w:rsidRPr="0036353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示公眾未獲許可經營賭局或賭場將構成犯罪，而參與非法賭博不但可能面臨刑罰，更可能遭受欺詐。</w:t>
      </w:r>
    </w:p>
    <w:p w:rsidR="0088184B" w:rsidRDefault="0088184B">
      <w:pPr>
        <w:widowControl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br w:type="page"/>
      </w:r>
    </w:p>
    <w:p w:rsidR="0009711C" w:rsidRPr="001C140A" w:rsidRDefault="0009711C" w:rsidP="00EA5798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首三季，勒索案件共錄得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65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宗，同比增加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11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20.4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。其中網上祼聊後被勒索的案件增幅最為明顯，共錄得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46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宗，比去年同期增加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42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宗。根據對案件情況的分析，此類案件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升的原因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有三</w:t>
      </w:r>
      <w:r w:rsidR="00BA7DBB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方面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：其一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是由於受疫情影響，本澳大部份市民的正常社交活動及外遊機會受限，因此使用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社交平台或交友軟件的時間大幅增加，</w:t>
      </w:r>
      <w:r w:rsidR="00BC01A9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導致不法者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有更多的機會物色</w:t>
      </w:r>
      <w:r w:rsidR="00BC01A9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與接觸受害目標；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其二</w:t>
      </w:r>
      <w:r w:rsidR="00BC01A9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是因為</w:t>
      </w:r>
      <w:r w:rsidR="00D0565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出入境政策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變化</w:t>
      </w:r>
      <w:r w:rsidR="00D0565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，暴利、盜竊等財產犯罪的難度增加，因此</w:t>
      </w:r>
      <w:r w:rsidR="00140756" w:rsidRPr="00EB68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使</w:t>
      </w:r>
      <w:r w:rsidR="00EA5798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更多的</w:t>
      </w:r>
      <w:r w:rsidR="00D0565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犯罪分子轉而實施網上勒索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；其三是由於</w:t>
      </w:r>
      <w:r w:rsidR="00D0565B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部分受害者因害怕案件曝光被家人或朋友知曉而選擇啞忍，也助長了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此類犯罪</w:t>
      </w:r>
      <w:r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針對上述情況，警方採取了“打防”雙結合的應對策略，一方面繼續加強與周邊國家及地區警方的情報交流，適時開展聯合行動，重點打擊跨境團伙式犯罪，務求將作案團伙一網打盡；另一方面持續</w:t>
      </w:r>
      <w:r w:rsidR="00EA5798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透過傳統媒體、網絡媒體、舉辦講座及工作坊等形式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開展宣傳教育工作，提高</w:t>
      </w:r>
      <w:r w:rsidR="00EA5798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的防罪意識，</w:t>
      </w:r>
      <w:r w:rsidR="00EA5798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呼籲</w:t>
      </w:r>
      <w:r w:rsidR="00EA5798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公眾如遇勒索應</w:t>
      </w:r>
      <w:r w:rsidR="00506BB6" w:rsidRPr="001C14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立即報警求助。</w:t>
      </w:r>
    </w:p>
    <w:p w:rsidR="00B9690C" w:rsidRPr="004337F4" w:rsidRDefault="00F3582A" w:rsidP="004337F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今年首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個月，</w:t>
      </w:r>
      <w:r w:rsidR="00BA55E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販毒案件持續呈下降趨勢，共錄得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A549B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BA55E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</w:t>
      </w:r>
      <w:r w:rsidR="00E44CC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A549B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41</w:t>
      </w:r>
      <w:r w:rsidR="00E44CC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BA55E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下降百分之</w:t>
      </w:r>
      <w:r w:rsidR="00BA55E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A549B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E44CC0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A549B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464C4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由於防疫需要，世界各地包括本澳及鄰近地區陸續施行嚴格的出入境管制措施，跨境人員流動大幅減少，販毒集團開始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更多地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利用郵包或水路方式販運毒品。為防毒品流入，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澳門警方及海關加強了與鄰近地區相關部門的情報交流與合作，並多次與物流、網購及代收公司等業界代表舉行會議，以商討對策。今年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至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月間，本澳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警方及海關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與內地警方關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展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聯合行動，成功搗破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利用水路販毒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的跨境犯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罪集團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並於兩地拒捕包括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集團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首腦在內的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17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集團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成員，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查</w:t>
      </w:r>
      <w:r w:rsidR="0091482D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獲</w:t>
      </w:r>
      <w:r w:rsidR="00C70392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“可卡因”、“冰毒”、“大麻”等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價值約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210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萬澳門元的毒品</w:t>
      </w:r>
      <w:r w:rsidR="00C7039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此外，</w:t>
      </w:r>
      <w:r w:rsidR="0064765E" w:rsidRPr="0064765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今年首</w:t>
      </w:r>
      <w:r w:rsidR="0064765E" w:rsidRPr="0064765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r w:rsidR="0064765E" w:rsidRPr="0064765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個月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，警方共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偵破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郵包販毒案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件</w:t>
      </w:r>
      <w:r w:rsidR="00B9690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31</w:t>
      </w:r>
      <w:r w:rsidR="00C425CC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本澳警方透過聯絡機制接獲內地情報，聯同澳門海關進行部署，成功查獲一件藏有毒品</w:t>
      </w:r>
      <w:r w:rsidR="0091482D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“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LSD</w:t>
      </w:r>
      <w:r w:rsidR="0091482D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”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的郵包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並拘捕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91482D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名收件人。</w:t>
      </w:r>
    </w:p>
    <w:p w:rsidR="007D2B45" w:rsidRDefault="002B357E" w:rsidP="00B56C9C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今年首三季，警方使用</w:t>
      </w:r>
      <w:r w:rsidR="005F41C6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俗稱“天眼</w:t>
      </w:r>
      <w:r w:rsidR="00BB3F7E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”的“全澳城市電子監察系統”輔</w:t>
      </w:r>
      <w:r w:rsidR="00BB3F7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助調查</w:t>
      </w: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1,625</w:t>
      </w:r>
      <w:r w:rsidR="00BB3F7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宗案件，其中包</w:t>
      </w:r>
      <w:r w:rsidR="00BB3F7E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括“</w:t>
      </w:r>
      <w:r w:rsidR="005F41C6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嚴重傷人”、“綁架”、“縱火”等嚴重暴力案件。“天眼”第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四階段鏡頭已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於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正式</w:t>
      </w:r>
      <w:r w:rsidR="003D163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投入運作</w:t>
      </w:r>
      <w:r w:rsidR="005F41C6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第五、六階段計劃分別安裝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300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支與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680</w:t>
      </w:r>
      <w:r w:rsidR="009E2E0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支鏡頭</w:t>
      </w:r>
      <w:r w:rsidR="00380F46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目標</w:t>
      </w:r>
      <w:r w:rsidR="004141CE" w:rsidRPr="0088184B">
        <w:rPr>
          <w:rFonts w:ascii="標楷體" w:eastAsia="標楷體" w:hAnsi="標楷體" w:cs="Times New Roman"/>
          <w:spacing w:val="20"/>
          <w:kern w:val="0"/>
          <w:sz w:val="28"/>
          <w:szCs w:val="28"/>
          <w:lang w:val="pt-BR"/>
        </w:rPr>
        <w:t>為“加強特定區域鏡頭部署”以及“深化和延伸鏡頭的整體佈局”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80F46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目前</w:t>
      </w:r>
      <w:r w:rsidR="007D2B45" w:rsidRPr="007D2B4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正開展研究工作。</w:t>
      </w:r>
    </w:p>
    <w:p w:rsidR="001203A7" w:rsidRPr="007D2B45" w:rsidRDefault="0043348A" w:rsidP="00B56C9C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月至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的各項罪案數據</w:t>
      </w:r>
      <w:r w:rsidR="00556BFF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顯示</w:t>
      </w: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BF3132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本澳整體</w:t>
      </w:r>
      <w:r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治安狀況繼續保持穩定良好，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絕大多數</w:t>
      </w:r>
      <w:r w:rsidR="00EA3A9B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種類的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犯罪持續呈下降趨勢。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目前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，全球</w:t>
      </w:r>
      <w:r w:rsidR="00195F9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新冠肺炎</w:t>
      </w:r>
      <w:r w:rsidR="004141C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疫情狀況仍然嚴峻，</w:t>
      </w:r>
      <w:r w:rsidR="001203A7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多個國家及地區的感染人數出現大幅反彈，加之冬季本就是各種流行病毒易傳播的季節</w:t>
      </w:r>
      <w:r w:rsidR="00195F9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，防疫部署仍是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現階段</w:t>
      </w:r>
      <w:r w:rsidR="00195F9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特區政府的工作重點，保安</w:t>
      </w:r>
      <w:r w:rsidR="00A549B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當局</w:t>
      </w:r>
      <w:r w:rsidR="00195F9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將</w:t>
      </w:r>
      <w:r w:rsidR="00136B8A" w:rsidRPr="007D2B4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積極</w:t>
      </w:r>
      <w:r w:rsidR="00195F9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全力配合。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同時，內地已於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月下旬全面恢復往來澳門</w:t>
      </w:r>
      <w:r w:rsidR="005E573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的旅遊簽注，雖然短時間內遊客數量仍低於預期，但隨著特區政府在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防疫安全的前提下</w:t>
      </w:r>
      <w:r w:rsidR="006C772C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推出更多吸引旅遊的政策</w:t>
      </w:r>
      <w:r w:rsidR="004337F4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和措施</w:t>
      </w:r>
      <w:r w:rsidR="002779EE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5E573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未來遊客數量將</w:t>
      </w:r>
      <w:r w:rsidR="005E5733" w:rsidRPr="007D2B4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有望</w:t>
      </w:r>
      <w:r w:rsidR="007D2B4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逐漸</w:t>
      </w:r>
      <w:r w:rsidR="006C772C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回升</w:t>
      </w:r>
      <w:r w:rsidR="00EA3A9B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，從而帶來更多影響治安狀況的不確定因素</w:t>
      </w:r>
      <w:r w:rsidR="00A549B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。對此，</w:t>
      </w:r>
      <w:r w:rsidR="00EA3A9B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保安當局將保持高度警覺</w:t>
      </w:r>
      <w:r w:rsidR="00A549B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B0815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繼續貫徹科技強警的理念，並</w:t>
      </w:r>
      <w:r w:rsid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加強與其他部門、鄰近地區警方及</w:t>
      </w:r>
      <w:r w:rsidR="007D2B4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國際刑警組織</w:t>
      </w:r>
      <w:r w:rsidR="00A549B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的合作，</w:t>
      </w:r>
      <w:r w:rsidR="005E5733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持續對治安狀況作出評估並適時調整部署，</w:t>
      </w:r>
      <w:r w:rsidR="00A549B9" w:rsidRPr="007D2B4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保障澳門社會的繁榮安定。</w:t>
      </w:r>
    </w:p>
    <w:p w:rsidR="007912CD" w:rsidRPr="004337F4" w:rsidRDefault="003C6E51" w:rsidP="004337F4">
      <w:pPr>
        <w:wordWrap w:val="0"/>
        <w:overflowPunct w:val="0"/>
        <w:spacing w:beforeLines="200" w:before="720" w:line="480" w:lineRule="exact"/>
        <w:jc w:val="right"/>
        <w:rPr>
          <w:rFonts w:ascii="Times New Roman" w:eastAsia="標楷體" w:hAnsi="Times New Roman" w:cs="Times New Roman"/>
          <w:spacing w:val="20"/>
          <w:sz w:val="28"/>
          <w:szCs w:val="28"/>
          <w:lang w:val="pt-BR" w:eastAsia="zh-CN"/>
        </w:rPr>
      </w:pP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 w:eastAsia="zh-CN"/>
        </w:rPr>
        <w:t>20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A549B9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 w:eastAsia="zh-CN"/>
        </w:rPr>
        <w:t>11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42F0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</w:t>
      </w:r>
      <w:r w:rsidR="005663F2" w:rsidRPr="004337F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4337F4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26" w:rsidRDefault="007D2126" w:rsidP="00DC4089">
      <w:r>
        <w:separator/>
      </w:r>
    </w:p>
  </w:endnote>
  <w:endnote w:type="continuationSeparator" w:id="0">
    <w:p w:rsidR="007D2126" w:rsidRDefault="007D2126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63F2" w:rsidRPr="005C4BE3" w:rsidRDefault="005663F2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1819BF" w:rsidRPr="001819BF">
          <w:rPr>
            <w:rFonts w:ascii="Times New Roman" w:hAnsi="Times New Roman" w:cs="Times New Roman"/>
            <w:noProof/>
            <w:lang w:val="zh-TW"/>
          </w:rPr>
          <w:t>1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26" w:rsidRDefault="007D2126" w:rsidP="00DC4089">
      <w:r>
        <w:separator/>
      </w:r>
    </w:p>
  </w:footnote>
  <w:footnote w:type="continuationSeparator" w:id="0">
    <w:p w:rsidR="007D2126" w:rsidRDefault="007D2126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93581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069E"/>
    <w:rsid w:val="0001174D"/>
    <w:rsid w:val="00011F3A"/>
    <w:rsid w:val="0002205C"/>
    <w:rsid w:val="000227CF"/>
    <w:rsid w:val="00022E7A"/>
    <w:rsid w:val="000245E8"/>
    <w:rsid w:val="000257B3"/>
    <w:rsid w:val="0003160F"/>
    <w:rsid w:val="0003252D"/>
    <w:rsid w:val="000338A7"/>
    <w:rsid w:val="00033A5B"/>
    <w:rsid w:val="0003678F"/>
    <w:rsid w:val="00036D77"/>
    <w:rsid w:val="0004167A"/>
    <w:rsid w:val="00045534"/>
    <w:rsid w:val="00045C25"/>
    <w:rsid w:val="00046397"/>
    <w:rsid w:val="00050C8A"/>
    <w:rsid w:val="00053344"/>
    <w:rsid w:val="0005347D"/>
    <w:rsid w:val="00053A27"/>
    <w:rsid w:val="00054739"/>
    <w:rsid w:val="00054D94"/>
    <w:rsid w:val="00057F6C"/>
    <w:rsid w:val="00065F45"/>
    <w:rsid w:val="0007063D"/>
    <w:rsid w:val="00070AC2"/>
    <w:rsid w:val="0007119F"/>
    <w:rsid w:val="00076FB9"/>
    <w:rsid w:val="00077110"/>
    <w:rsid w:val="000818F7"/>
    <w:rsid w:val="00081FDC"/>
    <w:rsid w:val="00084450"/>
    <w:rsid w:val="000855F2"/>
    <w:rsid w:val="00093482"/>
    <w:rsid w:val="000945A5"/>
    <w:rsid w:val="00095648"/>
    <w:rsid w:val="0009711C"/>
    <w:rsid w:val="000A5EC1"/>
    <w:rsid w:val="000A60D6"/>
    <w:rsid w:val="000A6EEC"/>
    <w:rsid w:val="000B6480"/>
    <w:rsid w:val="000C0AFE"/>
    <w:rsid w:val="000C1480"/>
    <w:rsid w:val="000C2F7D"/>
    <w:rsid w:val="000C6A71"/>
    <w:rsid w:val="000D0A98"/>
    <w:rsid w:val="000D35CD"/>
    <w:rsid w:val="000E0EB2"/>
    <w:rsid w:val="000E189C"/>
    <w:rsid w:val="000E1F87"/>
    <w:rsid w:val="000E3A3A"/>
    <w:rsid w:val="000E46C2"/>
    <w:rsid w:val="000F42B9"/>
    <w:rsid w:val="00101706"/>
    <w:rsid w:val="00101B58"/>
    <w:rsid w:val="00105056"/>
    <w:rsid w:val="001164D2"/>
    <w:rsid w:val="0011798F"/>
    <w:rsid w:val="001203A7"/>
    <w:rsid w:val="001210BC"/>
    <w:rsid w:val="001211C9"/>
    <w:rsid w:val="00122747"/>
    <w:rsid w:val="00126332"/>
    <w:rsid w:val="001320E0"/>
    <w:rsid w:val="00136B8A"/>
    <w:rsid w:val="00137C4A"/>
    <w:rsid w:val="00137DDE"/>
    <w:rsid w:val="00140756"/>
    <w:rsid w:val="00141F47"/>
    <w:rsid w:val="00150129"/>
    <w:rsid w:val="001511CD"/>
    <w:rsid w:val="00151E27"/>
    <w:rsid w:val="0015297E"/>
    <w:rsid w:val="001608C2"/>
    <w:rsid w:val="001678FA"/>
    <w:rsid w:val="00170EA8"/>
    <w:rsid w:val="0018083D"/>
    <w:rsid w:val="001819BF"/>
    <w:rsid w:val="00184615"/>
    <w:rsid w:val="00191471"/>
    <w:rsid w:val="00191CB5"/>
    <w:rsid w:val="0019204A"/>
    <w:rsid w:val="00192991"/>
    <w:rsid w:val="001933F5"/>
    <w:rsid w:val="001951CA"/>
    <w:rsid w:val="00195D51"/>
    <w:rsid w:val="00195F93"/>
    <w:rsid w:val="00196DD2"/>
    <w:rsid w:val="001A156C"/>
    <w:rsid w:val="001A2CC9"/>
    <w:rsid w:val="001A2F00"/>
    <w:rsid w:val="001B158F"/>
    <w:rsid w:val="001B456B"/>
    <w:rsid w:val="001B5200"/>
    <w:rsid w:val="001C0851"/>
    <w:rsid w:val="001C140A"/>
    <w:rsid w:val="001C15E0"/>
    <w:rsid w:val="001C19E9"/>
    <w:rsid w:val="001D1862"/>
    <w:rsid w:val="001D30C3"/>
    <w:rsid w:val="001D500C"/>
    <w:rsid w:val="001E5F9B"/>
    <w:rsid w:val="001E7D16"/>
    <w:rsid w:val="001F09C3"/>
    <w:rsid w:val="001F1968"/>
    <w:rsid w:val="001F7397"/>
    <w:rsid w:val="00200C43"/>
    <w:rsid w:val="00201180"/>
    <w:rsid w:val="00205361"/>
    <w:rsid w:val="00211A21"/>
    <w:rsid w:val="002152A6"/>
    <w:rsid w:val="00215526"/>
    <w:rsid w:val="002421F1"/>
    <w:rsid w:val="00244F32"/>
    <w:rsid w:val="002500D4"/>
    <w:rsid w:val="00251903"/>
    <w:rsid w:val="00251B6F"/>
    <w:rsid w:val="00255731"/>
    <w:rsid w:val="00260220"/>
    <w:rsid w:val="00262071"/>
    <w:rsid w:val="00272ACB"/>
    <w:rsid w:val="00276B01"/>
    <w:rsid w:val="002779EE"/>
    <w:rsid w:val="00291E08"/>
    <w:rsid w:val="00292F18"/>
    <w:rsid w:val="00295A74"/>
    <w:rsid w:val="0029603A"/>
    <w:rsid w:val="00296514"/>
    <w:rsid w:val="002A462E"/>
    <w:rsid w:val="002A51EA"/>
    <w:rsid w:val="002A7A8A"/>
    <w:rsid w:val="002B200D"/>
    <w:rsid w:val="002B357E"/>
    <w:rsid w:val="002B4BF1"/>
    <w:rsid w:val="002C1330"/>
    <w:rsid w:val="002C4C56"/>
    <w:rsid w:val="002D32A8"/>
    <w:rsid w:val="002D46C6"/>
    <w:rsid w:val="002D7940"/>
    <w:rsid w:val="002E3B4E"/>
    <w:rsid w:val="002F5CD1"/>
    <w:rsid w:val="003048EE"/>
    <w:rsid w:val="00312FEA"/>
    <w:rsid w:val="00316CD8"/>
    <w:rsid w:val="00322471"/>
    <w:rsid w:val="003252B0"/>
    <w:rsid w:val="00330529"/>
    <w:rsid w:val="00343AB3"/>
    <w:rsid w:val="00345047"/>
    <w:rsid w:val="00347F9B"/>
    <w:rsid w:val="003557AD"/>
    <w:rsid w:val="003610EB"/>
    <w:rsid w:val="00363531"/>
    <w:rsid w:val="003637B8"/>
    <w:rsid w:val="00364E2A"/>
    <w:rsid w:val="00366F7E"/>
    <w:rsid w:val="00371176"/>
    <w:rsid w:val="003726E0"/>
    <w:rsid w:val="003743F3"/>
    <w:rsid w:val="00375A36"/>
    <w:rsid w:val="00380961"/>
    <w:rsid w:val="00380F46"/>
    <w:rsid w:val="00384FA9"/>
    <w:rsid w:val="00387ADE"/>
    <w:rsid w:val="00390127"/>
    <w:rsid w:val="00392361"/>
    <w:rsid w:val="00394713"/>
    <w:rsid w:val="00397383"/>
    <w:rsid w:val="003A7039"/>
    <w:rsid w:val="003A73BD"/>
    <w:rsid w:val="003A78DB"/>
    <w:rsid w:val="003B7489"/>
    <w:rsid w:val="003C1555"/>
    <w:rsid w:val="003C329B"/>
    <w:rsid w:val="003C53E2"/>
    <w:rsid w:val="003C6CFE"/>
    <w:rsid w:val="003C6E51"/>
    <w:rsid w:val="003C7408"/>
    <w:rsid w:val="003C74B9"/>
    <w:rsid w:val="003D03CD"/>
    <w:rsid w:val="003D0E80"/>
    <w:rsid w:val="003D1639"/>
    <w:rsid w:val="003D215D"/>
    <w:rsid w:val="003D2C7C"/>
    <w:rsid w:val="003D403D"/>
    <w:rsid w:val="003D45B4"/>
    <w:rsid w:val="003D53A2"/>
    <w:rsid w:val="003E2BE2"/>
    <w:rsid w:val="003E681A"/>
    <w:rsid w:val="003E698A"/>
    <w:rsid w:val="00400096"/>
    <w:rsid w:val="0040222D"/>
    <w:rsid w:val="00407BEC"/>
    <w:rsid w:val="0041078D"/>
    <w:rsid w:val="00410BDB"/>
    <w:rsid w:val="004119FA"/>
    <w:rsid w:val="004141CE"/>
    <w:rsid w:val="00414BB5"/>
    <w:rsid w:val="0043348A"/>
    <w:rsid w:val="004337F4"/>
    <w:rsid w:val="00437976"/>
    <w:rsid w:val="00440830"/>
    <w:rsid w:val="00443CBD"/>
    <w:rsid w:val="0044674B"/>
    <w:rsid w:val="00464C42"/>
    <w:rsid w:val="004669A1"/>
    <w:rsid w:val="0047105E"/>
    <w:rsid w:val="004729D3"/>
    <w:rsid w:val="00482E43"/>
    <w:rsid w:val="004839D2"/>
    <w:rsid w:val="004840DA"/>
    <w:rsid w:val="00485E11"/>
    <w:rsid w:val="0048790D"/>
    <w:rsid w:val="00495431"/>
    <w:rsid w:val="00496CBD"/>
    <w:rsid w:val="004A1D39"/>
    <w:rsid w:val="004A30CE"/>
    <w:rsid w:val="004A4AE4"/>
    <w:rsid w:val="004A5C23"/>
    <w:rsid w:val="004A7625"/>
    <w:rsid w:val="004B0815"/>
    <w:rsid w:val="004B0EB6"/>
    <w:rsid w:val="004C0ADA"/>
    <w:rsid w:val="004C39AB"/>
    <w:rsid w:val="004C3F7A"/>
    <w:rsid w:val="004C660E"/>
    <w:rsid w:val="004D1724"/>
    <w:rsid w:val="004D60FC"/>
    <w:rsid w:val="004E4D44"/>
    <w:rsid w:val="004F5843"/>
    <w:rsid w:val="004F7E9B"/>
    <w:rsid w:val="00501772"/>
    <w:rsid w:val="00504CFE"/>
    <w:rsid w:val="00506BB6"/>
    <w:rsid w:val="00510673"/>
    <w:rsid w:val="005111F6"/>
    <w:rsid w:val="00511395"/>
    <w:rsid w:val="00514F41"/>
    <w:rsid w:val="005160D0"/>
    <w:rsid w:val="00526795"/>
    <w:rsid w:val="00542F02"/>
    <w:rsid w:val="00543326"/>
    <w:rsid w:val="005442F9"/>
    <w:rsid w:val="00546EC4"/>
    <w:rsid w:val="00551159"/>
    <w:rsid w:val="0055394A"/>
    <w:rsid w:val="00556BFF"/>
    <w:rsid w:val="0055738F"/>
    <w:rsid w:val="005579B6"/>
    <w:rsid w:val="00561581"/>
    <w:rsid w:val="005616B2"/>
    <w:rsid w:val="0056441A"/>
    <w:rsid w:val="005663F2"/>
    <w:rsid w:val="005750C7"/>
    <w:rsid w:val="0057571C"/>
    <w:rsid w:val="00577DE3"/>
    <w:rsid w:val="00583BEA"/>
    <w:rsid w:val="0058476D"/>
    <w:rsid w:val="005902DF"/>
    <w:rsid w:val="00593163"/>
    <w:rsid w:val="00597EA9"/>
    <w:rsid w:val="005A085A"/>
    <w:rsid w:val="005A7BE8"/>
    <w:rsid w:val="005B34AC"/>
    <w:rsid w:val="005B3E68"/>
    <w:rsid w:val="005B67D2"/>
    <w:rsid w:val="005B6AA1"/>
    <w:rsid w:val="005B6E6C"/>
    <w:rsid w:val="005C097E"/>
    <w:rsid w:val="005C1C29"/>
    <w:rsid w:val="005C2A8B"/>
    <w:rsid w:val="005C4BE3"/>
    <w:rsid w:val="005D478F"/>
    <w:rsid w:val="005D59C9"/>
    <w:rsid w:val="005E1C9A"/>
    <w:rsid w:val="005E5733"/>
    <w:rsid w:val="005F2BA0"/>
    <w:rsid w:val="005F41C6"/>
    <w:rsid w:val="005F52DB"/>
    <w:rsid w:val="006012C8"/>
    <w:rsid w:val="00603E09"/>
    <w:rsid w:val="00604E30"/>
    <w:rsid w:val="00615DB0"/>
    <w:rsid w:val="00621ACF"/>
    <w:rsid w:val="00631DC2"/>
    <w:rsid w:val="00636101"/>
    <w:rsid w:val="006374A2"/>
    <w:rsid w:val="00642560"/>
    <w:rsid w:val="00642CC5"/>
    <w:rsid w:val="0064765E"/>
    <w:rsid w:val="0066090B"/>
    <w:rsid w:val="006663B7"/>
    <w:rsid w:val="00666990"/>
    <w:rsid w:val="00677DB7"/>
    <w:rsid w:val="00681704"/>
    <w:rsid w:val="00685D27"/>
    <w:rsid w:val="00696A16"/>
    <w:rsid w:val="006B1E3D"/>
    <w:rsid w:val="006B316D"/>
    <w:rsid w:val="006B52D4"/>
    <w:rsid w:val="006B56A9"/>
    <w:rsid w:val="006B6D4A"/>
    <w:rsid w:val="006C1320"/>
    <w:rsid w:val="006C18E4"/>
    <w:rsid w:val="006C772C"/>
    <w:rsid w:val="006D17C3"/>
    <w:rsid w:val="006D3953"/>
    <w:rsid w:val="006D5172"/>
    <w:rsid w:val="006D5E11"/>
    <w:rsid w:val="006E63DE"/>
    <w:rsid w:val="006E651E"/>
    <w:rsid w:val="006E7238"/>
    <w:rsid w:val="006F4D7C"/>
    <w:rsid w:val="00707835"/>
    <w:rsid w:val="00710DED"/>
    <w:rsid w:val="0071135A"/>
    <w:rsid w:val="007203FD"/>
    <w:rsid w:val="00720510"/>
    <w:rsid w:val="00721B11"/>
    <w:rsid w:val="00721C5E"/>
    <w:rsid w:val="00723A8E"/>
    <w:rsid w:val="00725802"/>
    <w:rsid w:val="00726CA8"/>
    <w:rsid w:val="00730033"/>
    <w:rsid w:val="00763CF8"/>
    <w:rsid w:val="00771D67"/>
    <w:rsid w:val="007732DD"/>
    <w:rsid w:val="007744E1"/>
    <w:rsid w:val="007809A1"/>
    <w:rsid w:val="00782D25"/>
    <w:rsid w:val="00783671"/>
    <w:rsid w:val="007912CD"/>
    <w:rsid w:val="00792224"/>
    <w:rsid w:val="0079269D"/>
    <w:rsid w:val="007955B6"/>
    <w:rsid w:val="007A196C"/>
    <w:rsid w:val="007A1E18"/>
    <w:rsid w:val="007A260D"/>
    <w:rsid w:val="007B5805"/>
    <w:rsid w:val="007B651C"/>
    <w:rsid w:val="007C78D9"/>
    <w:rsid w:val="007D17F7"/>
    <w:rsid w:val="007D2126"/>
    <w:rsid w:val="007D2B45"/>
    <w:rsid w:val="007F0949"/>
    <w:rsid w:val="007F5D29"/>
    <w:rsid w:val="007F7B9D"/>
    <w:rsid w:val="00801EDA"/>
    <w:rsid w:val="00803B9F"/>
    <w:rsid w:val="008124DB"/>
    <w:rsid w:val="00814F01"/>
    <w:rsid w:val="00815B5A"/>
    <w:rsid w:val="00821B33"/>
    <w:rsid w:val="00830E52"/>
    <w:rsid w:val="0083232C"/>
    <w:rsid w:val="0083250F"/>
    <w:rsid w:val="0083468D"/>
    <w:rsid w:val="00836234"/>
    <w:rsid w:val="00842D24"/>
    <w:rsid w:val="00845594"/>
    <w:rsid w:val="0084688F"/>
    <w:rsid w:val="00846CB7"/>
    <w:rsid w:val="00851B30"/>
    <w:rsid w:val="00851FA7"/>
    <w:rsid w:val="0086229F"/>
    <w:rsid w:val="00862B2C"/>
    <w:rsid w:val="00863BDF"/>
    <w:rsid w:val="00864261"/>
    <w:rsid w:val="00864562"/>
    <w:rsid w:val="00870A07"/>
    <w:rsid w:val="00871A3F"/>
    <w:rsid w:val="00871B31"/>
    <w:rsid w:val="00871BFC"/>
    <w:rsid w:val="00871D72"/>
    <w:rsid w:val="0087696D"/>
    <w:rsid w:val="0088184B"/>
    <w:rsid w:val="008821EF"/>
    <w:rsid w:val="0088479A"/>
    <w:rsid w:val="00891A6B"/>
    <w:rsid w:val="0089212A"/>
    <w:rsid w:val="00894C75"/>
    <w:rsid w:val="008A0B68"/>
    <w:rsid w:val="008A6EA7"/>
    <w:rsid w:val="008B045B"/>
    <w:rsid w:val="008B682E"/>
    <w:rsid w:val="008C0229"/>
    <w:rsid w:val="008C2FE3"/>
    <w:rsid w:val="008D0553"/>
    <w:rsid w:val="008D32BB"/>
    <w:rsid w:val="008D41E8"/>
    <w:rsid w:val="008D4BD5"/>
    <w:rsid w:val="008E0311"/>
    <w:rsid w:val="008E6B24"/>
    <w:rsid w:val="008E7AF3"/>
    <w:rsid w:val="00902B83"/>
    <w:rsid w:val="00904583"/>
    <w:rsid w:val="00906506"/>
    <w:rsid w:val="00911FF2"/>
    <w:rsid w:val="00913389"/>
    <w:rsid w:val="0091431A"/>
    <w:rsid w:val="0091482D"/>
    <w:rsid w:val="009339E6"/>
    <w:rsid w:val="00936C9E"/>
    <w:rsid w:val="0094475F"/>
    <w:rsid w:val="0095359A"/>
    <w:rsid w:val="00954EE2"/>
    <w:rsid w:val="00955FC4"/>
    <w:rsid w:val="0096283E"/>
    <w:rsid w:val="00967238"/>
    <w:rsid w:val="00967469"/>
    <w:rsid w:val="0097102A"/>
    <w:rsid w:val="00974C26"/>
    <w:rsid w:val="00975EAE"/>
    <w:rsid w:val="00981418"/>
    <w:rsid w:val="009825CF"/>
    <w:rsid w:val="0098264E"/>
    <w:rsid w:val="0098579A"/>
    <w:rsid w:val="0099168B"/>
    <w:rsid w:val="00995BBA"/>
    <w:rsid w:val="009964A1"/>
    <w:rsid w:val="009A4D60"/>
    <w:rsid w:val="009B07C7"/>
    <w:rsid w:val="009B153A"/>
    <w:rsid w:val="009B3118"/>
    <w:rsid w:val="009B613B"/>
    <w:rsid w:val="009B76DD"/>
    <w:rsid w:val="009C1725"/>
    <w:rsid w:val="009C354C"/>
    <w:rsid w:val="009C54F3"/>
    <w:rsid w:val="009C6F38"/>
    <w:rsid w:val="009D57BC"/>
    <w:rsid w:val="009E2E07"/>
    <w:rsid w:val="009E36B1"/>
    <w:rsid w:val="009E3DDC"/>
    <w:rsid w:val="009F1632"/>
    <w:rsid w:val="009F3F8B"/>
    <w:rsid w:val="009F4DFE"/>
    <w:rsid w:val="009F7681"/>
    <w:rsid w:val="00A00488"/>
    <w:rsid w:val="00A01F02"/>
    <w:rsid w:val="00A0275A"/>
    <w:rsid w:val="00A063E1"/>
    <w:rsid w:val="00A12E46"/>
    <w:rsid w:val="00A15980"/>
    <w:rsid w:val="00A235C7"/>
    <w:rsid w:val="00A23964"/>
    <w:rsid w:val="00A26D1F"/>
    <w:rsid w:val="00A2721E"/>
    <w:rsid w:val="00A2757E"/>
    <w:rsid w:val="00A278E0"/>
    <w:rsid w:val="00A302E5"/>
    <w:rsid w:val="00A307D0"/>
    <w:rsid w:val="00A37E54"/>
    <w:rsid w:val="00A40E64"/>
    <w:rsid w:val="00A47894"/>
    <w:rsid w:val="00A50D3B"/>
    <w:rsid w:val="00A53740"/>
    <w:rsid w:val="00A541F2"/>
    <w:rsid w:val="00A549B9"/>
    <w:rsid w:val="00A57AF1"/>
    <w:rsid w:val="00A6145A"/>
    <w:rsid w:val="00A63BE7"/>
    <w:rsid w:val="00A65545"/>
    <w:rsid w:val="00A70B61"/>
    <w:rsid w:val="00A732F7"/>
    <w:rsid w:val="00A74089"/>
    <w:rsid w:val="00A74182"/>
    <w:rsid w:val="00A74BB4"/>
    <w:rsid w:val="00A75B08"/>
    <w:rsid w:val="00A8645A"/>
    <w:rsid w:val="00A92BEB"/>
    <w:rsid w:val="00A92D28"/>
    <w:rsid w:val="00A9520B"/>
    <w:rsid w:val="00A954D9"/>
    <w:rsid w:val="00A965F4"/>
    <w:rsid w:val="00AA0E6E"/>
    <w:rsid w:val="00AA1358"/>
    <w:rsid w:val="00AA291F"/>
    <w:rsid w:val="00AB47D1"/>
    <w:rsid w:val="00AB51AA"/>
    <w:rsid w:val="00AB5285"/>
    <w:rsid w:val="00AB5897"/>
    <w:rsid w:val="00AB6773"/>
    <w:rsid w:val="00AB6BEF"/>
    <w:rsid w:val="00AB7B08"/>
    <w:rsid w:val="00AC1C7B"/>
    <w:rsid w:val="00AD2A89"/>
    <w:rsid w:val="00AD7A56"/>
    <w:rsid w:val="00AE2EF2"/>
    <w:rsid w:val="00AE53FC"/>
    <w:rsid w:val="00AF0436"/>
    <w:rsid w:val="00AF5252"/>
    <w:rsid w:val="00AF6294"/>
    <w:rsid w:val="00AF7DD9"/>
    <w:rsid w:val="00B0238E"/>
    <w:rsid w:val="00B03DE3"/>
    <w:rsid w:val="00B0466F"/>
    <w:rsid w:val="00B052EB"/>
    <w:rsid w:val="00B0745B"/>
    <w:rsid w:val="00B10385"/>
    <w:rsid w:val="00B31626"/>
    <w:rsid w:val="00B34A22"/>
    <w:rsid w:val="00B36600"/>
    <w:rsid w:val="00B40000"/>
    <w:rsid w:val="00B422FE"/>
    <w:rsid w:val="00B46D40"/>
    <w:rsid w:val="00B47BD6"/>
    <w:rsid w:val="00B56F0A"/>
    <w:rsid w:val="00B60890"/>
    <w:rsid w:val="00B62C61"/>
    <w:rsid w:val="00B63BFD"/>
    <w:rsid w:val="00B64647"/>
    <w:rsid w:val="00B65258"/>
    <w:rsid w:val="00B7779F"/>
    <w:rsid w:val="00B82EF5"/>
    <w:rsid w:val="00B96569"/>
    <w:rsid w:val="00B967B2"/>
    <w:rsid w:val="00B9690C"/>
    <w:rsid w:val="00BA0404"/>
    <w:rsid w:val="00BA1CBC"/>
    <w:rsid w:val="00BA55E9"/>
    <w:rsid w:val="00BA7DBB"/>
    <w:rsid w:val="00BB115D"/>
    <w:rsid w:val="00BB2CA3"/>
    <w:rsid w:val="00BB3F7E"/>
    <w:rsid w:val="00BB7D13"/>
    <w:rsid w:val="00BC01A9"/>
    <w:rsid w:val="00BC0940"/>
    <w:rsid w:val="00BC22FA"/>
    <w:rsid w:val="00BC4975"/>
    <w:rsid w:val="00BC57C8"/>
    <w:rsid w:val="00BC7438"/>
    <w:rsid w:val="00BD127F"/>
    <w:rsid w:val="00BD3015"/>
    <w:rsid w:val="00BD402E"/>
    <w:rsid w:val="00BE292B"/>
    <w:rsid w:val="00BE2CC2"/>
    <w:rsid w:val="00BE6CF1"/>
    <w:rsid w:val="00BF3132"/>
    <w:rsid w:val="00BF56CD"/>
    <w:rsid w:val="00BF6165"/>
    <w:rsid w:val="00C036AD"/>
    <w:rsid w:val="00C13458"/>
    <w:rsid w:val="00C1399E"/>
    <w:rsid w:val="00C1443A"/>
    <w:rsid w:val="00C15B87"/>
    <w:rsid w:val="00C1753C"/>
    <w:rsid w:val="00C27E03"/>
    <w:rsid w:val="00C36960"/>
    <w:rsid w:val="00C40C6F"/>
    <w:rsid w:val="00C425CC"/>
    <w:rsid w:val="00C458EF"/>
    <w:rsid w:val="00C472EE"/>
    <w:rsid w:val="00C50C01"/>
    <w:rsid w:val="00C6043A"/>
    <w:rsid w:val="00C6101A"/>
    <w:rsid w:val="00C70392"/>
    <w:rsid w:val="00C70BC6"/>
    <w:rsid w:val="00C711A1"/>
    <w:rsid w:val="00C71E0D"/>
    <w:rsid w:val="00C7615A"/>
    <w:rsid w:val="00C85FFF"/>
    <w:rsid w:val="00C87444"/>
    <w:rsid w:val="00C91128"/>
    <w:rsid w:val="00C95391"/>
    <w:rsid w:val="00CA4CCC"/>
    <w:rsid w:val="00CA5DAA"/>
    <w:rsid w:val="00CA773E"/>
    <w:rsid w:val="00CB095F"/>
    <w:rsid w:val="00CB195C"/>
    <w:rsid w:val="00CB1BC5"/>
    <w:rsid w:val="00CB7E57"/>
    <w:rsid w:val="00CC175E"/>
    <w:rsid w:val="00CC5290"/>
    <w:rsid w:val="00CD168C"/>
    <w:rsid w:val="00CD31D8"/>
    <w:rsid w:val="00CD600B"/>
    <w:rsid w:val="00CE01E3"/>
    <w:rsid w:val="00CE2145"/>
    <w:rsid w:val="00CE281E"/>
    <w:rsid w:val="00CF2181"/>
    <w:rsid w:val="00CF2E33"/>
    <w:rsid w:val="00CF6E62"/>
    <w:rsid w:val="00CF75CA"/>
    <w:rsid w:val="00D03FFC"/>
    <w:rsid w:val="00D0565B"/>
    <w:rsid w:val="00D117E1"/>
    <w:rsid w:val="00D12280"/>
    <w:rsid w:val="00D15948"/>
    <w:rsid w:val="00D17E78"/>
    <w:rsid w:val="00D235BA"/>
    <w:rsid w:val="00D25973"/>
    <w:rsid w:val="00D26ABD"/>
    <w:rsid w:val="00D30108"/>
    <w:rsid w:val="00D30BEF"/>
    <w:rsid w:val="00D31FD6"/>
    <w:rsid w:val="00D33D25"/>
    <w:rsid w:val="00D44A13"/>
    <w:rsid w:val="00D454E7"/>
    <w:rsid w:val="00D50DCA"/>
    <w:rsid w:val="00D60E59"/>
    <w:rsid w:val="00D62746"/>
    <w:rsid w:val="00D6342C"/>
    <w:rsid w:val="00D6526F"/>
    <w:rsid w:val="00D868E3"/>
    <w:rsid w:val="00D86C2E"/>
    <w:rsid w:val="00D8794F"/>
    <w:rsid w:val="00D938F1"/>
    <w:rsid w:val="00D93F27"/>
    <w:rsid w:val="00D977E6"/>
    <w:rsid w:val="00DA056E"/>
    <w:rsid w:val="00DA19B3"/>
    <w:rsid w:val="00DA1C10"/>
    <w:rsid w:val="00DA6B59"/>
    <w:rsid w:val="00DB5736"/>
    <w:rsid w:val="00DB6441"/>
    <w:rsid w:val="00DB6E63"/>
    <w:rsid w:val="00DC3DC5"/>
    <w:rsid w:val="00DC4089"/>
    <w:rsid w:val="00DC47C9"/>
    <w:rsid w:val="00DD1034"/>
    <w:rsid w:val="00DD11B4"/>
    <w:rsid w:val="00DD3790"/>
    <w:rsid w:val="00DD71E4"/>
    <w:rsid w:val="00DE4C2A"/>
    <w:rsid w:val="00DE5D80"/>
    <w:rsid w:val="00DF4975"/>
    <w:rsid w:val="00DF49DE"/>
    <w:rsid w:val="00DF4A76"/>
    <w:rsid w:val="00DF5872"/>
    <w:rsid w:val="00E05E8E"/>
    <w:rsid w:val="00E06D5B"/>
    <w:rsid w:val="00E10B17"/>
    <w:rsid w:val="00E11CCF"/>
    <w:rsid w:val="00E15F8C"/>
    <w:rsid w:val="00E17944"/>
    <w:rsid w:val="00E337C6"/>
    <w:rsid w:val="00E354F2"/>
    <w:rsid w:val="00E43755"/>
    <w:rsid w:val="00E44CC0"/>
    <w:rsid w:val="00E47267"/>
    <w:rsid w:val="00E63A99"/>
    <w:rsid w:val="00E63EE8"/>
    <w:rsid w:val="00E64898"/>
    <w:rsid w:val="00E72A74"/>
    <w:rsid w:val="00E7326E"/>
    <w:rsid w:val="00E74D8B"/>
    <w:rsid w:val="00E864AC"/>
    <w:rsid w:val="00E91279"/>
    <w:rsid w:val="00E961EA"/>
    <w:rsid w:val="00E97368"/>
    <w:rsid w:val="00EA3A9B"/>
    <w:rsid w:val="00EA53DE"/>
    <w:rsid w:val="00EA5798"/>
    <w:rsid w:val="00EA5989"/>
    <w:rsid w:val="00EA6EB8"/>
    <w:rsid w:val="00EB1672"/>
    <w:rsid w:val="00EB22EC"/>
    <w:rsid w:val="00EB5A3D"/>
    <w:rsid w:val="00EB6868"/>
    <w:rsid w:val="00EC0EC4"/>
    <w:rsid w:val="00EC1BD3"/>
    <w:rsid w:val="00EC504A"/>
    <w:rsid w:val="00ED3E9D"/>
    <w:rsid w:val="00ED5FB2"/>
    <w:rsid w:val="00EE14E4"/>
    <w:rsid w:val="00EF1B56"/>
    <w:rsid w:val="00EF7CDD"/>
    <w:rsid w:val="00F04C29"/>
    <w:rsid w:val="00F04F87"/>
    <w:rsid w:val="00F10699"/>
    <w:rsid w:val="00F12312"/>
    <w:rsid w:val="00F12E50"/>
    <w:rsid w:val="00F13092"/>
    <w:rsid w:val="00F1627F"/>
    <w:rsid w:val="00F22528"/>
    <w:rsid w:val="00F30BA9"/>
    <w:rsid w:val="00F3400E"/>
    <w:rsid w:val="00F3496B"/>
    <w:rsid w:val="00F3582A"/>
    <w:rsid w:val="00F50AFC"/>
    <w:rsid w:val="00F52F6C"/>
    <w:rsid w:val="00F53593"/>
    <w:rsid w:val="00F54740"/>
    <w:rsid w:val="00F56047"/>
    <w:rsid w:val="00F56ECE"/>
    <w:rsid w:val="00F67ED0"/>
    <w:rsid w:val="00F72764"/>
    <w:rsid w:val="00F81739"/>
    <w:rsid w:val="00F84A02"/>
    <w:rsid w:val="00F934A4"/>
    <w:rsid w:val="00F94AD3"/>
    <w:rsid w:val="00F97A67"/>
    <w:rsid w:val="00FA01DC"/>
    <w:rsid w:val="00FA05AB"/>
    <w:rsid w:val="00FA7A93"/>
    <w:rsid w:val="00FB45E2"/>
    <w:rsid w:val="00FB57BF"/>
    <w:rsid w:val="00FC6BE8"/>
    <w:rsid w:val="00FD05B1"/>
    <w:rsid w:val="00FD1A89"/>
    <w:rsid w:val="00FD36EF"/>
    <w:rsid w:val="00FE19CD"/>
    <w:rsid w:val="00FE455D"/>
    <w:rsid w:val="00FE484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85CA-04F6-4B4A-985B-40760DF7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768</Words>
  <Characters>4381</Characters>
  <Application>Microsoft Office Word</Application>
  <DocSecurity>0</DocSecurity>
  <Lines>36</Lines>
  <Paragraphs>10</Paragraphs>
  <ScaleCrop>false</ScaleCrop>
  <Company>FSM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2020年1至9月澳門罪案統計和執法工作數據總結簡報</cp:keywords>
  <cp:lastModifiedBy>Administrator</cp:lastModifiedBy>
  <cp:revision>2</cp:revision>
  <cp:lastPrinted>2020-10-27T04:04:00Z</cp:lastPrinted>
  <dcterms:created xsi:type="dcterms:W3CDTF">2020-11-24T07:43:00Z</dcterms:created>
  <dcterms:modified xsi:type="dcterms:W3CDTF">2020-11-24T07:43:00Z</dcterms:modified>
</cp:coreProperties>
</file>