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54" w:rsidRPr="003E7841" w:rsidRDefault="00C77154" w:rsidP="00C77154">
      <w:pPr>
        <w:pStyle w:val="NormalWeb"/>
        <w:jc w:val="right"/>
        <w:rPr>
          <w:rFonts w:ascii="Times New Roman" w:hAnsi="Times New Roman" w:cs="Times New Roman"/>
          <w:lang w:val="pt-PT"/>
        </w:rPr>
      </w:pPr>
      <w:r w:rsidRPr="003E7841">
        <w:rPr>
          <w:rFonts w:ascii="Times New Roman" w:cs="Times New Roman"/>
          <w:b/>
          <w:color w:val="000000"/>
          <w:kern w:val="2"/>
        </w:rPr>
        <w:t>發稿日期：</w:t>
      </w:r>
      <w:r w:rsidR="00C76017">
        <w:rPr>
          <w:rFonts w:ascii="Times New Roman" w:cs="Times New Roman"/>
          <w:b/>
          <w:color w:val="000000"/>
          <w:kern w:val="2"/>
        </w:rPr>
        <w:t>201</w:t>
      </w:r>
      <w:r w:rsidR="00C92003">
        <w:rPr>
          <w:rFonts w:ascii="Times New Roman" w:cs="Times New Roman"/>
          <w:b/>
          <w:color w:val="000000"/>
          <w:kern w:val="2"/>
        </w:rPr>
        <w:t>9</w:t>
      </w:r>
      <w:r>
        <w:rPr>
          <w:rFonts w:ascii="Times New Roman" w:cs="Times New Roman" w:hint="eastAsia"/>
          <w:b/>
          <w:color w:val="000000"/>
          <w:kern w:val="2"/>
        </w:rPr>
        <w:t>年</w:t>
      </w:r>
      <w:r w:rsidR="00C06D45">
        <w:rPr>
          <w:rFonts w:ascii="Times New Roman" w:cs="Times New Roman" w:hint="eastAsia"/>
          <w:b/>
          <w:color w:val="000000"/>
          <w:kern w:val="2"/>
        </w:rPr>
        <w:t>1</w:t>
      </w:r>
      <w:r>
        <w:rPr>
          <w:rFonts w:ascii="Times New Roman" w:cs="Times New Roman" w:hint="eastAsia"/>
          <w:b/>
          <w:color w:val="000000"/>
          <w:kern w:val="2"/>
        </w:rPr>
        <w:t>月</w:t>
      </w:r>
      <w:r w:rsidR="00C06D45">
        <w:rPr>
          <w:rFonts w:ascii="Times New Roman" w:cs="Times New Roman" w:hint="eastAsia"/>
          <w:b/>
          <w:color w:val="000000"/>
          <w:kern w:val="2"/>
        </w:rPr>
        <w:t>7</w:t>
      </w:r>
      <w:r>
        <w:rPr>
          <w:rFonts w:ascii="Times New Roman" w:cs="Times New Roman" w:hint="eastAsia"/>
          <w:b/>
          <w:color w:val="000000"/>
          <w:kern w:val="2"/>
        </w:rPr>
        <w:t>日</w:t>
      </w:r>
    </w:p>
    <w:p w:rsidR="00C77154" w:rsidRPr="003E7841" w:rsidRDefault="00C77154" w:rsidP="00C77154">
      <w:pPr>
        <w:pStyle w:val="NormalWeb"/>
        <w:rPr>
          <w:rFonts w:ascii="Times New Roman" w:hAnsi="Times New Roman" w:cs="Times New Roman"/>
          <w:lang w:val="pt-PT"/>
        </w:rPr>
      </w:pPr>
      <w:r w:rsidRPr="003E7841">
        <w:rPr>
          <w:rFonts w:ascii="Times New Roman" w:cs="Times New Roman"/>
          <w:lang w:val="pt-PT"/>
        </w:rPr>
        <w:t>請惠賜篇幅刊登</w:t>
      </w:r>
    </w:p>
    <w:p w:rsidR="00C77154" w:rsidRDefault="00C77154" w:rsidP="00C77154">
      <w:pPr>
        <w:jc w:val="center"/>
        <w:textAlignment w:val="baseline"/>
        <w:rPr>
          <w:rFonts w:hAnsi="新細明體"/>
          <w:b/>
          <w:kern w:val="0"/>
          <w:szCs w:val="24"/>
        </w:rPr>
      </w:pPr>
      <w:r>
        <w:rPr>
          <w:rFonts w:hAnsi="新細明體" w:hint="eastAsia"/>
          <w:b/>
          <w:kern w:val="0"/>
          <w:szCs w:val="24"/>
          <w:lang w:val="pt-PT"/>
        </w:rPr>
        <w:t>新聞</w:t>
      </w:r>
      <w:r>
        <w:rPr>
          <w:rFonts w:hAnsi="新細明體" w:hint="eastAsia"/>
          <w:b/>
          <w:kern w:val="0"/>
          <w:szCs w:val="24"/>
        </w:rPr>
        <w:t>稿</w:t>
      </w:r>
    </w:p>
    <w:p w:rsidR="00C77154" w:rsidRPr="00693449" w:rsidRDefault="00C06D45" w:rsidP="00C77154">
      <w:pPr>
        <w:jc w:val="center"/>
        <w:textAlignment w:val="baseline"/>
        <w:rPr>
          <w:rFonts w:hAnsi="新細明體"/>
          <w:b/>
          <w:kern w:val="0"/>
          <w:szCs w:val="24"/>
          <w:lang w:val="pt-PT"/>
        </w:rPr>
      </w:pPr>
      <w:r w:rsidRPr="00CB1799">
        <w:rPr>
          <w:rFonts w:hAnsi="新細明體" w:hint="eastAsia"/>
          <w:b/>
          <w:kern w:val="0"/>
          <w:szCs w:val="24"/>
          <w:lang w:val="pt-PT"/>
        </w:rPr>
        <w:t>澳大公佈</w:t>
      </w:r>
      <w:r>
        <w:rPr>
          <w:rFonts w:hAnsi="新細明體"/>
          <w:b/>
          <w:kern w:val="0"/>
          <w:szCs w:val="24"/>
          <w:lang w:val="pt-PT"/>
        </w:rPr>
        <w:t>2019</w:t>
      </w:r>
      <w:r w:rsidRPr="00CB1799">
        <w:rPr>
          <w:rFonts w:hAnsi="新細明體" w:hint="eastAsia"/>
          <w:b/>
          <w:kern w:val="0"/>
          <w:szCs w:val="24"/>
          <w:lang w:val="pt-PT"/>
        </w:rPr>
        <w:t>年宏觀經濟預測</w:t>
      </w:r>
    </w:p>
    <w:p w:rsidR="00C77154" w:rsidRPr="00C422D2" w:rsidRDefault="00C77154" w:rsidP="00C77154">
      <w:pPr>
        <w:textAlignment w:val="baseline"/>
        <w:rPr>
          <w:kern w:val="0"/>
          <w:szCs w:val="24"/>
          <w:lang w:val="pt-PT"/>
        </w:rPr>
      </w:pPr>
    </w:p>
    <w:p w:rsidR="00C06D45" w:rsidRDefault="00C06D45" w:rsidP="00C06D45">
      <w:pPr>
        <w:ind w:right="-1"/>
        <w:jc w:val="both"/>
        <w:textAlignment w:val="baseline"/>
        <w:rPr>
          <w:kern w:val="0"/>
          <w:szCs w:val="24"/>
        </w:rPr>
      </w:pPr>
      <w:bookmarkStart w:id="0" w:name="_Hlk517085785"/>
      <w:r>
        <w:rPr>
          <w:rFonts w:ascii="新細明體" w:hAnsi="新細明體" w:cs="新細明體" w:hint="eastAsia"/>
          <w:lang w:eastAsia="zh-HK"/>
        </w:rPr>
        <w:t>由</w:t>
      </w:r>
      <w:r w:rsidRPr="00C06D45">
        <w:rPr>
          <w:rFonts w:ascii="新細明體" w:hAnsi="新細明體" w:cs="新細明體" w:hint="eastAsia"/>
        </w:rPr>
        <w:t>澳門大學經濟學系及澳門研究中心公佈</w:t>
      </w:r>
      <w:r>
        <w:rPr>
          <w:rFonts w:ascii="新細明體" w:hAnsi="新細明體" w:cs="新細明體" w:hint="eastAsia"/>
          <w:lang w:eastAsia="zh-HK"/>
        </w:rPr>
        <w:t>的</w:t>
      </w:r>
      <w:r w:rsidRPr="002E71C0">
        <w:t>2019</w:t>
      </w:r>
      <w:r w:rsidRPr="00C06D45">
        <w:rPr>
          <w:rFonts w:ascii="新細明體" w:hAnsi="新細明體" w:cs="新細明體" w:hint="eastAsia"/>
        </w:rPr>
        <w:t>年宏觀經濟預測</w:t>
      </w:r>
      <w:r>
        <w:rPr>
          <w:rFonts w:ascii="新細明體" w:hAnsi="新細明體" w:cs="新細明體" w:hint="eastAsia"/>
          <w:lang w:eastAsia="zh-HK"/>
        </w:rPr>
        <w:t>顯示</w:t>
      </w:r>
      <w:r>
        <w:rPr>
          <w:rFonts w:hint="eastAsia"/>
        </w:rPr>
        <w:t>，</w:t>
      </w:r>
      <w:r>
        <w:rPr>
          <w:rFonts w:ascii="新細明體" w:hAnsi="新細明體" w:cs="新細明體" w:hint="eastAsia"/>
        </w:rPr>
        <w:t>澳門經濟在</w:t>
      </w:r>
      <w:r>
        <w:t>2018</w:t>
      </w:r>
      <w:r>
        <w:rPr>
          <w:rFonts w:ascii="新細明體" w:hAnsi="新細明體" w:cs="新細明體" w:hint="eastAsia"/>
        </w:rPr>
        <w:t>年上半年持續強勁，</w:t>
      </w:r>
      <w:r w:rsidRPr="002E71C0">
        <w:rPr>
          <w:rFonts w:ascii="新細明體" w:hAnsi="新細明體" w:cs="新細明體" w:hint="eastAsia"/>
          <w:lang w:eastAsia="zh-HK"/>
        </w:rPr>
        <w:t>按所收集的數據分析，</w:t>
      </w:r>
      <w:r>
        <w:rPr>
          <w:rFonts w:hint="eastAsia"/>
          <w:bCs/>
        </w:rPr>
        <w:t>本</w:t>
      </w:r>
      <w:r>
        <w:rPr>
          <w:rFonts w:ascii="新細明體" w:hAnsi="新細明體" w:cs="新細明體" w:hint="eastAsia"/>
        </w:rPr>
        <w:t>地生產總值第</w:t>
      </w:r>
      <w:r>
        <w:t>1</w:t>
      </w:r>
      <w:r>
        <w:rPr>
          <w:rFonts w:ascii="新細明體" w:hAnsi="新細明體" w:cs="新細明體" w:hint="eastAsia"/>
        </w:rPr>
        <w:t>季按年增長</w:t>
      </w:r>
      <w:r>
        <w:t>9.4%</w:t>
      </w:r>
      <w:r>
        <w:rPr>
          <w:rFonts w:ascii="新細明體" w:hAnsi="新細明體" w:cs="新細明體" w:hint="eastAsia"/>
        </w:rPr>
        <w:t>，第</w:t>
      </w:r>
      <w:r>
        <w:t>2</w:t>
      </w:r>
      <w:r>
        <w:rPr>
          <w:rFonts w:ascii="新細明體" w:hAnsi="新細明體" w:cs="新細明體" w:hint="eastAsia"/>
        </w:rPr>
        <w:t>季按年增長</w:t>
      </w:r>
      <w:r>
        <w:t>5.9%</w:t>
      </w:r>
      <w:r>
        <w:rPr>
          <w:rFonts w:ascii="新細明體" w:hAnsi="新細明體" w:cs="新細明體" w:hint="eastAsia"/>
        </w:rPr>
        <w:t>。</w:t>
      </w:r>
      <w:bookmarkStart w:id="1" w:name="_1542618883"/>
      <w:bookmarkStart w:id="2" w:name="_1488817259"/>
      <w:bookmarkStart w:id="3" w:name="_1488817226"/>
      <w:bookmarkStart w:id="4" w:name="_1488803690"/>
      <w:bookmarkStart w:id="5" w:name="_1488803368"/>
      <w:bookmarkStart w:id="6" w:name="_1488803191"/>
      <w:bookmarkStart w:id="7" w:name="_1488803158"/>
      <w:bookmarkStart w:id="8" w:name="_1488802963"/>
      <w:bookmarkStart w:id="9" w:name="_1448178952"/>
      <w:bookmarkStart w:id="10" w:name="_1448178935"/>
      <w:bookmarkStart w:id="11" w:name="_1448178910"/>
      <w:bookmarkStart w:id="12" w:name="_1448178779"/>
      <w:bookmarkStart w:id="13" w:name="_1446881052"/>
      <w:bookmarkStart w:id="14" w:name="_1446651972"/>
      <w:bookmarkStart w:id="15" w:name="_1446650910"/>
      <w:bookmarkStart w:id="16" w:name="_1446650754"/>
      <w:bookmarkStart w:id="17" w:name="_1446650710"/>
      <w:bookmarkStart w:id="18" w:name="_1446650685"/>
      <w:bookmarkStart w:id="19" w:name="_1446650574"/>
      <w:bookmarkStart w:id="20" w:name="_1446650254"/>
      <w:bookmarkStart w:id="21" w:name="_1410332947"/>
      <w:bookmarkStart w:id="22" w:name="_1410331039"/>
      <w:bookmarkStart w:id="23" w:name="_1396797369"/>
      <w:bookmarkStart w:id="24" w:name="_1396797144"/>
      <w:bookmarkStart w:id="25" w:name="_1396792725"/>
      <w:bookmarkStart w:id="26" w:name="_1396792640"/>
      <w:bookmarkStart w:id="27" w:name="_1396792187"/>
      <w:bookmarkStart w:id="28" w:name="_1395236537"/>
      <w:bookmarkStart w:id="29" w:name="_1395235996"/>
      <w:bookmarkStart w:id="30" w:name="_1394539151"/>
      <w:bookmarkStart w:id="31" w:name="_1393845987"/>
      <w:bookmarkStart w:id="32" w:name="_1393845976"/>
      <w:bookmarkStart w:id="33" w:name="_1393845518"/>
      <w:bookmarkStart w:id="34" w:name="_1393845495"/>
      <w:bookmarkStart w:id="35" w:name="_1393845484"/>
      <w:bookmarkStart w:id="36" w:name="_1393845389"/>
      <w:bookmarkStart w:id="37" w:name="_1393845339"/>
      <w:bookmarkStart w:id="38" w:name="_1393845324"/>
      <w:bookmarkStart w:id="39" w:name="_1393845302"/>
      <w:bookmarkStart w:id="40" w:name="_1393845288"/>
      <w:bookmarkStart w:id="41" w:name="_1393845267"/>
      <w:bookmarkStart w:id="42" w:name="_1393845251"/>
      <w:bookmarkStart w:id="43" w:name="_1393845188"/>
      <w:bookmarkStart w:id="44" w:name="_1393845180"/>
      <w:bookmarkStart w:id="45" w:name="_1393845015"/>
      <w:bookmarkStart w:id="46" w:name="_1393842505"/>
      <w:bookmarkStart w:id="47" w:name="_1393841973"/>
      <w:bookmarkStart w:id="48" w:name="_1369723396"/>
      <w:bookmarkStart w:id="49" w:name="_1369723383"/>
      <w:bookmarkStart w:id="50" w:name="_1369723359"/>
      <w:bookmarkStart w:id="51" w:name="_1369723178"/>
      <w:bookmarkStart w:id="52" w:name="_1369723043"/>
      <w:bookmarkStart w:id="53" w:name="_1365342442"/>
      <w:bookmarkStart w:id="54" w:name="_1365342374"/>
      <w:bookmarkStart w:id="55" w:name="_1365342346"/>
      <w:bookmarkStart w:id="56" w:name="_1365342185"/>
      <w:bookmarkStart w:id="57" w:name="_1358605693"/>
      <w:bookmarkStart w:id="58" w:name="_1358172546"/>
      <w:bookmarkStart w:id="59" w:name="_1358172510"/>
      <w:bookmarkStart w:id="60" w:name="_1358170508"/>
      <w:bookmarkStart w:id="61" w:name="_1358170405"/>
      <w:bookmarkStart w:id="62" w:name="_1358170294"/>
      <w:bookmarkStart w:id="63" w:name="_1358166064"/>
      <w:bookmarkStart w:id="64" w:name="_1358161592"/>
      <w:bookmarkStart w:id="65" w:name="_1358161438"/>
      <w:bookmarkStart w:id="66" w:name="_1358161388"/>
      <w:bookmarkStart w:id="67" w:name="_1358161351"/>
      <w:bookmarkStart w:id="68" w:name="_1358161231"/>
      <w:bookmarkStart w:id="69" w:name="_1347195660"/>
      <w:bookmarkStart w:id="70" w:name="_1347193749"/>
      <w:bookmarkStart w:id="71" w:name="_1347193013"/>
      <w:bookmarkStart w:id="72" w:name="_1347192970"/>
      <w:bookmarkStart w:id="73" w:name="_1347178172"/>
      <w:bookmarkStart w:id="74" w:name="_1347178000"/>
      <w:bookmarkStart w:id="75" w:name="_1347177932"/>
      <w:bookmarkStart w:id="76" w:name="_1347173429"/>
      <w:bookmarkStart w:id="77" w:name="_1347173266"/>
      <w:bookmarkStart w:id="78" w:name="_1347172991"/>
      <w:bookmarkStart w:id="79" w:name="_1338986024"/>
      <w:bookmarkStart w:id="80" w:name="_1338045277"/>
      <w:bookmarkStart w:id="81" w:name="_133416623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>
        <w:t>9</w:t>
      </w:r>
      <w:r>
        <w:rPr>
          <w:rFonts w:ascii="新細明體" w:hAnsi="新細明體" w:cs="新細明體" w:hint="eastAsia"/>
        </w:rPr>
        <w:t>月份颱風“山竹”衝擊澳門，令經濟增長急速下跌，</w:t>
      </w:r>
      <w:r>
        <w:rPr>
          <w:rFonts w:hint="eastAsia"/>
          <w:bCs/>
        </w:rPr>
        <w:t>本</w:t>
      </w:r>
      <w:r>
        <w:rPr>
          <w:rFonts w:ascii="新細明體" w:hAnsi="新細明體" w:cs="新細明體" w:hint="eastAsia"/>
        </w:rPr>
        <w:t>地生產總值第</w:t>
      </w:r>
      <w:r>
        <w:t>3</w:t>
      </w:r>
      <w:r>
        <w:rPr>
          <w:rFonts w:ascii="新細明體" w:hAnsi="新細明體" w:cs="新細明體" w:hint="eastAsia"/>
        </w:rPr>
        <w:t>季按年增長只有</w:t>
      </w:r>
      <w:r>
        <w:t>1.6%</w:t>
      </w:r>
      <w:r>
        <w:rPr>
          <w:rFonts w:ascii="新細明體" w:hAnsi="新細明體" w:cs="新細明體" w:hint="eastAsia"/>
        </w:rPr>
        <w:t>，達到</w:t>
      </w:r>
      <w:r>
        <w:t>1,009</w:t>
      </w:r>
      <w:r>
        <w:rPr>
          <w:rFonts w:ascii="新細明體" w:hAnsi="新細明體" w:cs="新細明體" w:hint="eastAsia"/>
        </w:rPr>
        <w:t xml:space="preserve">億澳門元 </w:t>
      </w:r>
      <w:r>
        <w:rPr>
          <w:rFonts w:ascii="新細明體" w:hAnsi="新細明體" w:cs="新細明體"/>
        </w:rPr>
        <w:t>(</w:t>
      </w:r>
      <w:r>
        <w:rPr>
          <w:rFonts w:ascii="新細明體" w:hAnsi="新細明體" w:cs="新細明體" w:hint="eastAsia"/>
        </w:rPr>
        <w:t>見圖</w:t>
      </w:r>
      <w:r>
        <w:t>1</w:t>
      </w:r>
      <w:r>
        <w:rPr>
          <w:rFonts w:hint="eastAsia"/>
        </w:rPr>
        <w:t>和</w:t>
      </w:r>
      <w:r>
        <w:rPr>
          <w:rFonts w:ascii="新細明體" w:hAnsi="新細明體" w:cs="新細明體" w:hint="eastAsia"/>
        </w:rPr>
        <w:t>圖</w:t>
      </w:r>
      <w:r>
        <w:t>2</w:t>
      </w:r>
      <w:r>
        <w:rPr>
          <w:rFonts w:ascii="新細明體" w:hAnsi="新細明體" w:cs="新細明體"/>
        </w:rPr>
        <w:t>)</w:t>
      </w:r>
      <w:r>
        <w:rPr>
          <w:rFonts w:ascii="新細明體" w:hAnsi="新細明體" w:cs="新細明體" w:hint="eastAsia"/>
        </w:rPr>
        <w:t>。與美國的貿易摩擦及其他結構調整</w:t>
      </w:r>
      <w:r w:rsidRPr="00ED3BE8">
        <w:rPr>
          <w:rFonts w:ascii="新細明體" w:hAnsi="新細明體" w:cs="新細明體" w:hint="eastAsia"/>
        </w:rPr>
        <w:t>對中國經濟</w:t>
      </w:r>
      <w:r>
        <w:rPr>
          <w:rFonts w:ascii="新細明體" w:hAnsi="新細明體" w:cs="新細明體" w:hint="eastAsia"/>
        </w:rPr>
        <w:t>所帶來的負面效果</w:t>
      </w:r>
      <w:r w:rsidRPr="00ED3BE8">
        <w:rPr>
          <w:rFonts w:ascii="新細明體" w:hAnsi="新細明體" w:cs="新細明體" w:hint="eastAsia"/>
        </w:rPr>
        <w:t>在過去數個月</w:t>
      </w:r>
      <w:r w:rsidRPr="00DA41F1">
        <w:rPr>
          <w:rFonts w:ascii="新細明體" w:hAnsi="新細明體" w:cs="新細明體" w:hint="eastAsia"/>
        </w:rPr>
        <w:t>逐步</w:t>
      </w:r>
      <w:r>
        <w:rPr>
          <w:rFonts w:ascii="新細明體" w:hAnsi="新細明體" w:cs="新細明體" w:hint="eastAsia"/>
        </w:rPr>
        <w:t>浮現，各種不穩定因素</w:t>
      </w:r>
      <w:r w:rsidRPr="00DA41F1">
        <w:rPr>
          <w:rFonts w:ascii="新細明體" w:hAnsi="新細明體" w:cs="新細明體" w:hint="eastAsia"/>
        </w:rPr>
        <w:t>將會</w:t>
      </w:r>
      <w:r>
        <w:rPr>
          <w:rFonts w:ascii="新細明體" w:hAnsi="新細明體" w:cs="新細明體" w:hint="eastAsia"/>
        </w:rPr>
        <w:t>持續影響澳門經濟，</w:t>
      </w:r>
      <w:r w:rsidRPr="005F0C8F">
        <w:rPr>
          <w:rFonts w:ascii="新細明體" w:hAnsi="新細明體" w:cs="新細明體" w:hint="eastAsia"/>
        </w:rPr>
        <w:t>因此，</w:t>
      </w:r>
      <w:r w:rsidRPr="00DA41F1">
        <w:rPr>
          <w:rFonts w:hint="eastAsia"/>
          <w:kern w:val="0"/>
          <w:szCs w:val="24"/>
        </w:rPr>
        <w:t>對</w:t>
      </w:r>
      <w:r>
        <w:rPr>
          <w:rFonts w:ascii="新細明體" w:hAnsi="新細明體" w:cs="新細明體" w:hint="eastAsia"/>
        </w:rPr>
        <w:t>澳門經濟</w:t>
      </w:r>
      <w:r w:rsidRPr="00CB1799">
        <w:rPr>
          <w:rFonts w:hint="eastAsia"/>
          <w:kern w:val="0"/>
          <w:szCs w:val="24"/>
        </w:rPr>
        <w:t>增長預測</w:t>
      </w:r>
      <w:r w:rsidRPr="00DA41F1">
        <w:rPr>
          <w:rFonts w:hint="eastAsia"/>
          <w:kern w:val="0"/>
          <w:szCs w:val="24"/>
        </w:rPr>
        <w:t>向下修訂</w:t>
      </w:r>
      <w:r w:rsidRPr="00CB1799">
        <w:rPr>
          <w:rFonts w:hint="eastAsia"/>
          <w:kern w:val="0"/>
          <w:szCs w:val="24"/>
        </w:rPr>
        <w:t>。</w:t>
      </w:r>
    </w:p>
    <w:p w:rsidR="00C06D45" w:rsidRDefault="00C06D45" w:rsidP="00C06D45">
      <w:pPr>
        <w:jc w:val="both"/>
        <w:textAlignment w:val="baseline"/>
        <w:rPr>
          <w:kern w:val="0"/>
          <w:szCs w:val="24"/>
        </w:rPr>
      </w:pPr>
      <w:r>
        <w:rPr>
          <w:noProof/>
          <w:lang w:eastAsia="zh-CN"/>
        </w:rPr>
        <w:drawing>
          <wp:inline distT="0" distB="0" distL="0" distR="0" wp14:anchorId="588416D8" wp14:editId="5E6D4152">
            <wp:extent cx="5991225" cy="4600575"/>
            <wp:effectExtent l="0" t="0" r="9525" b="9525"/>
            <wp:docPr id="9" name="圖表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6D45" w:rsidRPr="00CB1799" w:rsidRDefault="00C06D45" w:rsidP="00C06D45">
      <w:pPr>
        <w:jc w:val="both"/>
        <w:textAlignment w:val="baseline"/>
        <w:rPr>
          <w:kern w:val="0"/>
          <w:szCs w:val="24"/>
        </w:rPr>
      </w:pPr>
      <w:bookmarkStart w:id="82" w:name="_1573898403"/>
      <w:bookmarkStart w:id="83" w:name="_1573899010"/>
      <w:bookmarkStart w:id="84" w:name="_1542624843"/>
      <w:bookmarkStart w:id="85" w:name="_1542623956"/>
      <w:bookmarkStart w:id="86" w:name="_1542623945"/>
      <w:bookmarkStart w:id="87" w:name="_1542619073"/>
      <w:bookmarkStart w:id="88" w:name="_1488818190"/>
      <w:bookmarkStart w:id="89" w:name="_1488817291"/>
      <w:bookmarkStart w:id="90" w:name="_1488817279"/>
      <w:bookmarkStart w:id="91" w:name="_1488803212"/>
      <w:bookmarkStart w:id="92" w:name="_1448178971"/>
      <w:bookmarkStart w:id="93" w:name="_1448178946"/>
      <w:bookmarkStart w:id="94" w:name="_1448178922"/>
      <w:bookmarkStart w:id="95" w:name="_1446894969"/>
      <w:bookmarkStart w:id="96" w:name="_1446880963"/>
      <w:bookmarkStart w:id="97" w:name="_1446880941"/>
      <w:bookmarkStart w:id="98" w:name="_1446651999"/>
      <w:bookmarkStart w:id="99" w:name="_1446650943"/>
      <w:bookmarkStart w:id="100" w:name="_1446650930"/>
      <w:bookmarkStart w:id="101" w:name="_1446650791"/>
      <w:bookmarkStart w:id="102" w:name="_1446650556"/>
      <w:bookmarkStart w:id="103" w:name="_1446650545"/>
      <w:bookmarkStart w:id="104" w:name="_1410332963"/>
      <w:bookmarkStart w:id="105" w:name="_1410331304"/>
      <w:bookmarkStart w:id="106" w:name="_1410331285"/>
      <w:bookmarkStart w:id="107" w:name="_1410331270"/>
      <w:bookmarkStart w:id="108" w:name="_1396797389"/>
      <w:bookmarkStart w:id="109" w:name="_1396797104"/>
      <w:bookmarkStart w:id="110" w:name="_1396797078"/>
      <w:bookmarkStart w:id="111" w:name="_1396792655"/>
      <w:bookmarkStart w:id="112" w:name="_1396792618"/>
      <w:bookmarkStart w:id="113" w:name="_1395236127"/>
      <w:bookmarkStart w:id="114" w:name="_1394547856"/>
      <w:bookmarkStart w:id="115" w:name="_1393881571"/>
      <w:bookmarkStart w:id="116" w:name="_1393867976"/>
      <w:bookmarkStart w:id="117" w:name="_1393867968"/>
      <w:bookmarkStart w:id="118" w:name="_1393867946"/>
      <w:bookmarkStart w:id="119" w:name="_1393845563"/>
      <w:bookmarkStart w:id="120" w:name="_1393845553"/>
      <w:bookmarkStart w:id="121" w:name="_1393845549"/>
      <w:bookmarkStart w:id="122" w:name="_1393845519"/>
      <w:bookmarkStart w:id="123" w:name="_1393845499"/>
      <w:bookmarkStart w:id="124" w:name="_1393845474"/>
      <w:bookmarkStart w:id="125" w:name="_1393845197"/>
      <w:bookmarkStart w:id="126" w:name="_1393845140"/>
      <w:bookmarkStart w:id="127" w:name="_1393842709"/>
      <w:bookmarkStart w:id="128" w:name="_1369723428"/>
      <w:bookmarkStart w:id="129" w:name="_1369723331"/>
      <w:bookmarkStart w:id="130" w:name="_1365342545"/>
      <w:bookmarkStart w:id="131" w:name="_1365342539"/>
      <w:bookmarkStart w:id="132" w:name="_1365342464"/>
      <w:bookmarkStart w:id="133" w:name="_1365342429"/>
      <w:bookmarkStart w:id="134" w:name="_1358166172"/>
      <w:bookmarkStart w:id="135" w:name="_1358166082"/>
      <w:bookmarkStart w:id="136" w:name="_1358161607"/>
      <w:bookmarkStart w:id="137" w:name="_1347193778"/>
      <w:bookmarkStart w:id="138" w:name="_1347193046"/>
      <w:bookmarkStart w:id="139" w:name="_1347178050"/>
      <w:bookmarkStart w:id="140" w:name="_1347178012"/>
      <w:bookmarkStart w:id="141" w:name="_1347173284"/>
      <w:bookmarkStart w:id="142" w:name="_1338045715"/>
      <w:bookmarkStart w:id="143" w:name="_1338045456"/>
      <w:bookmarkStart w:id="144" w:name="_1334168368"/>
      <w:bookmarkStart w:id="145" w:name="_1334168350"/>
      <w:bookmarkStart w:id="146" w:name="_1334167926"/>
      <w:bookmarkStart w:id="147" w:name="_1334167910"/>
      <w:bookmarkStart w:id="148" w:name="_1334166303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>
        <w:rPr>
          <w:noProof/>
          <w:lang w:eastAsia="zh-CN"/>
        </w:rPr>
        <w:lastRenderedPageBreak/>
        <w:drawing>
          <wp:inline distT="0" distB="0" distL="0" distR="0" wp14:anchorId="206FD35D" wp14:editId="7D0C51D3">
            <wp:extent cx="6019800" cy="4591050"/>
            <wp:effectExtent l="0" t="0" r="0" b="0"/>
            <wp:docPr id="7" name="圖表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06D45" w:rsidRPr="00CB1799" w:rsidRDefault="00C06D45" w:rsidP="00C06D45">
      <w:pPr>
        <w:jc w:val="both"/>
        <w:textAlignment w:val="baseline"/>
        <w:rPr>
          <w:kern w:val="0"/>
          <w:szCs w:val="24"/>
          <w:lang w:val="en-GB"/>
        </w:rPr>
      </w:pPr>
    </w:p>
    <w:p w:rsidR="00C06D45" w:rsidRPr="002E57DB" w:rsidRDefault="00C06D45" w:rsidP="00C06D45">
      <w:pPr>
        <w:adjustRightInd w:val="0"/>
        <w:snapToGrid w:val="0"/>
        <w:spacing w:line="320" w:lineRule="exact"/>
        <w:jc w:val="both"/>
        <w:textAlignment w:val="baseline"/>
        <w:rPr>
          <w:b/>
          <w:kern w:val="0"/>
          <w:szCs w:val="24"/>
          <w:u w:val="single"/>
          <w:lang w:val="en-GB"/>
        </w:rPr>
      </w:pPr>
      <w:bookmarkStart w:id="149" w:name="_1511873461"/>
      <w:bookmarkStart w:id="150" w:name="_1511873441"/>
      <w:bookmarkStart w:id="151" w:name="_1511873256"/>
      <w:bookmarkStart w:id="152" w:name="_1511873546"/>
      <w:bookmarkStart w:id="153" w:name="_1511873467"/>
      <w:bookmarkStart w:id="154" w:name="_1511873430"/>
      <w:bookmarkEnd w:id="149"/>
      <w:bookmarkEnd w:id="150"/>
      <w:bookmarkEnd w:id="151"/>
      <w:bookmarkEnd w:id="152"/>
      <w:bookmarkEnd w:id="153"/>
      <w:bookmarkEnd w:id="154"/>
      <w:r w:rsidRPr="002E57DB">
        <w:rPr>
          <w:rFonts w:hint="eastAsia"/>
          <w:b/>
          <w:kern w:val="0"/>
          <w:szCs w:val="24"/>
          <w:u w:val="single"/>
          <w:lang w:val="en-GB"/>
        </w:rPr>
        <w:t>最</w:t>
      </w:r>
      <w:r w:rsidRPr="00D82369">
        <w:rPr>
          <w:rFonts w:hint="eastAsia"/>
          <w:b/>
          <w:kern w:val="0"/>
          <w:szCs w:val="24"/>
          <w:u w:val="single"/>
          <w:lang w:val="en-GB"/>
        </w:rPr>
        <w:t>近</w:t>
      </w:r>
      <w:r w:rsidRPr="002E57DB">
        <w:rPr>
          <w:rFonts w:hint="eastAsia"/>
          <w:b/>
          <w:kern w:val="0"/>
          <w:szCs w:val="24"/>
          <w:u w:val="single"/>
          <w:lang w:val="en-GB"/>
        </w:rPr>
        <w:t>澳門</w:t>
      </w:r>
      <w:r w:rsidRPr="00CB1799">
        <w:rPr>
          <w:rFonts w:hint="eastAsia"/>
          <w:b/>
          <w:kern w:val="0"/>
          <w:szCs w:val="24"/>
          <w:u w:val="single"/>
          <w:lang w:val="en-GB"/>
        </w:rPr>
        <w:t>宏觀經濟</w:t>
      </w:r>
      <w:r w:rsidRPr="002E57DB">
        <w:rPr>
          <w:rFonts w:hint="eastAsia"/>
          <w:b/>
          <w:kern w:val="0"/>
          <w:szCs w:val="24"/>
          <w:u w:val="single"/>
          <w:lang w:val="en-GB"/>
        </w:rPr>
        <w:t>情況</w:t>
      </w:r>
    </w:p>
    <w:p w:rsidR="00C06D45" w:rsidRDefault="00C06D45" w:rsidP="00C06D45">
      <w:p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r w:rsidRPr="00CB1799">
        <w:rPr>
          <w:rFonts w:hint="eastAsia"/>
          <w:kern w:val="0"/>
          <w:szCs w:val="24"/>
          <w:lang w:val="en-GB"/>
        </w:rPr>
        <w:t>澳</w:t>
      </w:r>
      <w:r w:rsidRPr="00CB1799">
        <w:rPr>
          <w:kern w:val="0"/>
          <w:szCs w:val="24"/>
          <w:lang w:val="en-GB"/>
        </w:rPr>
        <w:t>門</w:t>
      </w:r>
      <w:r w:rsidRPr="00CB1799">
        <w:rPr>
          <w:rFonts w:hint="eastAsia"/>
          <w:kern w:val="0"/>
          <w:szCs w:val="24"/>
          <w:lang w:val="en-GB"/>
        </w:rPr>
        <w:t>主要經濟環節最新的情況有如下特點</w:t>
      </w:r>
      <w:r w:rsidRPr="00CB1799">
        <w:rPr>
          <w:kern w:val="0"/>
          <w:szCs w:val="24"/>
          <w:lang w:val="en-GB"/>
        </w:rPr>
        <w:t>：</w:t>
      </w:r>
    </w:p>
    <w:p w:rsidR="00C06D45" w:rsidRPr="00CB1799" w:rsidRDefault="00C06D45" w:rsidP="00C06D45">
      <w:p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</w:p>
    <w:p w:rsidR="00C06D45" w:rsidRPr="002E57DB" w:rsidRDefault="00C06D45" w:rsidP="00C06D45">
      <w:pPr>
        <w:numPr>
          <w:ilvl w:val="0"/>
          <w:numId w:val="4"/>
        </w:num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bookmarkStart w:id="155" w:name="_Hlk517086356"/>
      <w:r>
        <w:rPr>
          <w:rFonts w:ascii="新細明體" w:hAnsi="新細明體" w:cs="新細明體" w:hint="eastAsia"/>
        </w:rPr>
        <w:t>澳門服務出口主要由中國大陸所帶動。隨</w:t>
      </w:r>
      <w:r>
        <w:rPr>
          <w:rFonts w:hint="eastAsia"/>
        </w:rPr>
        <w:t>着</w:t>
      </w:r>
      <w:r>
        <w:rPr>
          <w:rFonts w:ascii="新細明體" w:hAnsi="新細明體" w:cs="新細明體" w:hint="eastAsia"/>
        </w:rPr>
        <w:t>中國</w:t>
      </w:r>
      <w:r>
        <w:rPr>
          <w:rFonts w:hint="eastAsia"/>
          <w:bCs/>
        </w:rPr>
        <w:t>經濟</w:t>
      </w:r>
      <w:r>
        <w:rPr>
          <w:rFonts w:hint="eastAsia"/>
        </w:rPr>
        <w:t>近期</w:t>
      </w:r>
      <w:r>
        <w:rPr>
          <w:rFonts w:ascii="新細明體" w:hAnsi="新細明體" w:cs="新細明體" w:hint="eastAsia"/>
        </w:rPr>
        <w:t>增長</w:t>
      </w:r>
      <w:r>
        <w:rPr>
          <w:rFonts w:hint="eastAsia"/>
        </w:rPr>
        <w:t>放緩</w:t>
      </w:r>
      <w:r>
        <w:rPr>
          <w:rFonts w:ascii="新細明體" w:hAnsi="新細明體" w:cs="新細明體" w:hint="eastAsia"/>
        </w:rPr>
        <w:t>，而</w:t>
      </w:r>
      <w:r>
        <w:t xml:space="preserve"> 9</w:t>
      </w:r>
      <w:r>
        <w:rPr>
          <w:rFonts w:ascii="新細明體" w:hAnsi="新細明體" w:cs="新細明體" w:hint="eastAsia"/>
        </w:rPr>
        <w:t>月份颱風“山竹”令到博彩場所停業，中國大陸旅客在澳門消費，尤其博彩活動，</w:t>
      </w:r>
      <w:r>
        <w:rPr>
          <w:rFonts w:hint="eastAsia"/>
        </w:rPr>
        <w:t>增長減慢</w:t>
      </w:r>
      <w:r>
        <w:rPr>
          <w:rFonts w:ascii="新細明體" w:hAnsi="新細明體" w:cs="新細明體" w:hint="eastAsia"/>
        </w:rPr>
        <w:t>。</w:t>
      </w:r>
      <w:r>
        <w:rPr>
          <w:rFonts w:ascii="新細明體" w:hAnsi="新細明體" w:cs="新細明體" w:hint="eastAsia"/>
          <w:lang w:val="pt-PT"/>
        </w:rPr>
        <w:t>服務出口在</w:t>
      </w:r>
      <w:r>
        <w:rPr>
          <w:rFonts w:cs="新細明體" w:hint="eastAsia"/>
          <w:lang w:val="pt-PT"/>
        </w:rPr>
        <w:t>201</w:t>
      </w:r>
      <w:r>
        <w:rPr>
          <w:rFonts w:cs="新細明體"/>
          <w:lang w:val="pt-PT"/>
        </w:rPr>
        <w:t>8</w:t>
      </w:r>
      <w:r>
        <w:rPr>
          <w:rFonts w:ascii="新細明體" w:hAnsi="新細明體" w:cs="新細明體" w:hint="eastAsia"/>
          <w:lang w:val="pt-PT"/>
        </w:rPr>
        <w:t>年第</w:t>
      </w:r>
      <w:r>
        <w:rPr>
          <w:rFonts w:cs="新細明體" w:hint="eastAsia"/>
          <w:lang w:val="pt-PT"/>
        </w:rPr>
        <w:t>3</w:t>
      </w:r>
      <w:r>
        <w:rPr>
          <w:rFonts w:ascii="新細明體" w:hAnsi="新細明體" w:cs="新細明體" w:hint="eastAsia"/>
          <w:lang w:val="pt-PT"/>
        </w:rPr>
        <w:t>季按年</w:t>
      </w:r>
      <w:r>
        <w:rPr>
          <w:rFonts w:ascii="新細明體" w:hAnsi="新細明體" w:cs="新細明體" w:hint="eastAsia"/>
        </w:rPr>
        <w:t>上升</w:t>
      </w:r>
      <w:r>
        <w:rPr>
          <w:rFonts w:cs="新細明體" w:hint="eastAsia"/>
          <w:lang w:val="pt-PT"/>
        </w:rPr>
        <w:t>6.3%</w:t>
      </w:r>
      <w:r>
        <w:rPr>
          <w:rFonts w:cs="新細明體" w:hint="eastAsia"/>
        </w:rPr>
        <w:t>至</w:t>
      </w:r>
      <w:r>
        <w:rPr>
          <w:lang w:val="pt-PT"/>
        </w:rPr>
        <w:t>8</w:t>
      </w:r>
      <w:r>
        <w:rPr>
          <w:rFonts w:hint="eastAsia"/>
          <w:lang w:val="pt-PT"/>
        </w:rPr>
        <w:t>35</w:t>
      </w:r>
      <w:r>
        <w:rPr>
          <w:rFonts w:ascii="新細明體" w:hAnsi="新細明體" w:cs="新細明體" w:hint="eastAsia"/>
          <w:lang w:val="pt-PT"/>
        </w:rPr>
        <w:t>億澳門元，</w:t>
      </w:r>
      <w:r>
        <w:rPr>
          <w:rFonts w:ascii="新細明體" w:hAnsi="新細明體" w:cs="新細明體" w:hint="eastAsia"/>
        </w:rPr>
        <w:t>其中</w:t>
      </w:r>
      <w:proofErr w:type="gramStart"/>
      <w:r>
        <w:rPr>
          <w:rFonts w:ascii="新細明體" w:hAnsi="新細明體" w:cs="新細明體" w:hint="eastAsia"/>
        </w:rPr>
        <w:t>佔</w:t>
      </w:r>
      <w:proofErr w:type="gramEnd"/>
      <w:r>
        <w:rPr>
          <w:rFonts w:ascii="新細明體" w:hAnsi="新細明體" w:cs="新細明體" w:hint="eastAsia"/>
        </w:rPr>
        <w:t>服務出口最大部分的</w:t>
      </w:r>
      <w:proofErr w:type="gramStart"/>
      <w:r>
        <w:rPr>
          <w:rFonts w:ascii="新細明體" w:hAnsi="新細明體" w:cs="新細明體" w:hint="eastAsia"/>
        </w:rPr>
        <w:t>博彩業服務</w:t>
      </w:r>
      <w:proofErr w:type="gramEnd"/>
      <w:r>
        <w:rPr>
          <w:rFonts w:ascii="新細明體" w:hAnsi="新細明體" w:cs="新細明體" w:hint="eastAsia"/>
        </w:rPr>
        <w:t>按年上升</w:t>
      </w:r>
      <w:r>
        <w:rPr>
          <w:rFonts w:hint="eastAsia"/>
        </w:rPr>
        <w:t>5.8</w:t>
      </w:r>
      <w:r>
        <w:t>%</w:t>
      </w:r>
      <w:r>
        <w:rPr>
          <w:rFonts w:hint="eastAsia"/>
          <w:lang w:val="pt-PT"/>
        </w:rPr>
        <w:t>至</w:t>
      </w:r>
      <w:r>
        <w:rPr>
          <w:lang w:val="pt-PT"/>
        </w:rPr>
        <w:t>55</w:t>
      </w:r>
      <w:r>
        <w:rPr>
          <w:rFonts w:hint="eastAsia"/>
          <w:lang w:val="pt-PT"/>
        </w:rPr>
        <w:t>3</w:t>
      </w:r>
      <w:r>
        <w:rPr>
          <w:rFonts w:ascii="新細明體" w:hAnsi="新細明體" w:cs="新細明體" w:hint="eastAsia"/>
          <w:lang w:val="pt-PT"/>
        </w:rPr>
        <w:t>億澳門元</w:t>
      </w:r>
      <w:bookmarkEnd w:id="155"/>
      <w:r w:rsidRPr="00CB1799">
        <w:rPr>
          <w:rFonts w:hint="eastAsia"/>
          <w:kern w:val="0"/>
          <w:szCs w:val="24"/>
        </w:rPr>
        <w:t>。</w:t>
      </w:r>
    </w:p>
    <w:p w:rsidR="00C06D45" w:rsidRPr="00CB1799" w:rsidRDefault="00C06D45" w:rsidP="00C06D45">
      <w:pPr>
        <w:numPr>
          <w:ilvl w:val="0"/>
          <w:numId w:val="4"/>
        </w:num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bookmarkStart w:id="156" w:name="_Hlk517086387"/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年第</w:t>
      </w:r>
      <w:r>
        <w:rPr>
          <w:rFonts w:hint="eastAsia"/>
        </w:rPr>
        <w:t>3</w:t>
      </w:r>
      <w:r>
        <w:rPr>
          <w:rFonts w:ascii="新細明體" w:hAnsi="新細明體" w:cs="新細明體" w:hint="eastAsia"/>
        </w:rPr>
        <w:t>季博彩總收入為</w:t>
      </w:r>
      <w:r>
        <w:t>73</w:t>
      </w:r>
      <w:r>
        <w:rPr>
          <w:rFonts w:hint="eastAsia"/>
        </w:rPr>
        <w:t>8</w:t>
      </w:r>
      <w:r>
        <w:rPr>
          <w:rFonts w:ascii="新細明體" w:hAnsi="新細明體" w:cs="新細明體" w:hint="eastAsia"/>
        </w:rPr>
        <w:t>億澳門元，按年上升</w:t>
      </w:r>
      <w:r>
        <w:t>1</w:t>
      </w:r>
      <w:r>
        <w:rPr>
          <w:rFonts w:hint="eastAsia"/>
        </w:rPr>
        <w:t>0</w:t>
      </w:r>
      <w:r>
        <w:t>.2%</w:t>
      </w:r>
      <w:r>
        <w:rPr>
          <w:rFonts w:ascii="新細明體" w:hAnsi="新細明體" w:cs="新細明體" w:hint="eastAsia"/>
        </w:rPr>
        <w:t>，而按季</w:t>
      </w:r>
      <w:r>
        <w:rPr>
          <w:rFonts w:ascii="新細明體" w:hAnsi="新細明體" w:cs="DFKaiShu-SB-Estd-BF" w:hint="eastAsia"/>
        </w:rPr>
        <w:t>則</w:t>
      </w:r>
      <w:r>
        <w:rPr>
          <w:rFonts w:ascii="新細明體" w:hAnsi="新細明體" w:cs="新細明體" w:hint="eastAsia"/>
        </w:rPr>
        <w:t>上升</w:t>
      </w:r>
      <w:r>
        <w:rPr>
          <w:rFonts w:hint="eastAsia"/>
        </w:rPr>
        <w:t>0.2</w:t>
      </w:r>
      <w:r>
        <w:t>%</w:t>
      </w:r>
      <w:r>
        <w:rPr>
          <w:rFonts w:ascii="新細明體" w:hAnsi="新細明體" w:cs="SimSun" w:hint="eastAsia"/>
        </w:rPr>
        <w:t>。</w:t>
      </w:r>
      <w:bookmarkEnd w:id="156"/>
      <w:r>
        <w:rPr>
          <w:rFonts w:ascii="新細明體" w:hAnsi="新細明體" w:cs="新細明體" w:hint="eastAsia"/>
        </w:rPr>
        <w:t>當中，</w:t>
      </w:r>
      <w:r>
        <w:rPr>
          <w:rFonts w:ascii="新細明體" w:hAnsi="新細明體" w:cs="SimSun" w:hint="eastAsia"/>
        </w:rPr>
        <w:t>貴賓廳百家樂收入為</w:t>
      </w:r>
      <w:r>
        <w:t>4</w:t>
      </w:r>
      <w:r>
        <w:rPr>
          <w:rFonts w:hint="eastAsia"/>
        </w:rPr>
        <w:t>01</w:t>
      </w:r>
      <w:r>
        <w:rPr>
          <w:rFonts w:ascii="新細明體" w:hAnsi="新細明體" w:cs="SimSun" w:hint="eastAsia"/>
        </w:rPr>
        <w:t>億澳門元，</w:t>
      </w:r>
      <w:r>
        <w:rPr>
          <w:rFonts w:ascii="新細明體" w:hAnsi="新細明體" w:cs="新細明體" w:hint="eastAsia"/>
        </w:rPr>
        <w:t>按年上升</w:t>
      </w:r>
      <w:r>
        <w:rPr>
          <w:rFonts w:hint="eastAsia"/>
        </w:rPr>
        <w:t>3.6</w:t>
      </w:r>
      <w:r>
        <w:t>%</w:t>
      </w:r>
      <w:r>
        <w:rPr>
          <w:rFonts w:ascii="新細明體" w:hAnsi="新細明體" w:cs="DFKaiShu-SB-Estd-BF" w:hint="eastAsia"/>
        </w:rPr>
        <w:t>，而</w:t>
      </w:r>
      <w:r>
        <w:rPr>
          <w:rFonts w:ascii="新細明體" w:hAnsi="新細明體" w:cs="新細明體" w:hint="eastAsia"/>
        </w:rPr>
        <w:t>按季</w:t>
      </w:r>
      <w:r>
        <w:rPr>
          <w:rFonts w:ascii="新細明體" w:hAnsi="新細明體" w:cs="DFKaiShu-SB-Estd-BF" w:hint="eastAsia"/>
        </w:rPr>
        <w:t>則</w:t>
      </w:r>
      <w:r>
        <w:rPr>
          <w:rFonts w:ascii="新細明體" w:hAnsi="新細明體" w:cs="新細明體" w:hint="eastAsia"/>
        </w:rPr>
        <w:t>下跌</w:t>
      </w:r>
      <w:r>
        <w:rPr>
          <w:rFonts w:hint="eastAsia"/>
        </w:rPr>
        <w:t>2.3</w:t>
      </w:r>
      <w:r>
        <w:t>%</w:t>
      </w:r>
    </w:p>
    <w:p w:rsidR="00C06D45" w:rsidRPr="00CB1799" w:rsidRDefault="00C06D45" w:rsidP="00C06D45">
      <w:pPr>
        <w:numPr>
          <w:ilvl w:val="0"/>
          <w:numId w:val="4"/>
        </w:num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r>
        <w:t>2018</w:t>
      </w:r>
      <w:r>
        <w:rPr>
          <w:rFonts w:ascii="新細明體" w:hAnsi="新細明體" w:cs="新細明體" w:hint="eastAsia"/>
        </w:rPr>
        <w:t>年</w:t>
      </w:r>
      <w:r>
        <w:rPr>
          <w:rFonts w:hint="eastAsia"/>
        </w:rPr>
        <w:t>10</w:t>
      </w:r>
      <w:r>
        <w:rPr>
          <w:rFonts w:ascii="新細明體" w:hAnsi="新細明體" w:cs="新細明體" w:hint="eastAsia"/>
        </w:rPr>
        <w:t>月份訪澳旅客為</w:t>
      </w:r>
      <w:r>
        <w:t>3</w:t>
      </w:r>
      <w:r>
        <w:rPr>
          <w:rFonts w:hint="eastAsia"/>
        </w:rPr>
        <w:t>15</w:t>
      </w:r>
      <w:r>
        <w:rPr>
          <w:rFonts w:ascii="新細明體" w:hAnsi="新細明體" w:cs="新細明體" w:hint="eastAsia"/>
        </w:rPr>
        <w:t>萬人次，按年上升</w:t>
      </w:r>
      <w:r>
        <w:rPr>
          <w:rFonts w:hint="eastAsia"/>
        </w:rPr>
        <w:t>9.2</w:t>
      </w:r>
      <w:r>
        <w:t>%</w:t>
      </w:r>
      <w:r>
        <w:rPr>
          <w:rFonts w:ascii="新細明體" w:hAnsi="新細明體" w:cs="新細明體" w:hint="eastAsia"/>
        </w:rPr>
        <w:t>，其中兩大主要市場，中國大陸的入境旅客為</w:t>
      </w:r>
      <w:r>
        <w:t>2</w:t>
      </w:r>
      <w:r>
        <w:rPr>
          <w:rFonts w:hint="eastAsia"/>
        </w:rPr>
        <w:t>31</w:t>
      </w:r>
      <w:r>
        <w:rPr>
          <w:rFonts w:ascii="新細明體" w:hAnsi="新細明體" w:cs="新細明體" w:hint="eastAsia"/>
        </w:rPr>
        <w:t>萬人次，按年上升</w:t>
      </w:r>
      <w:r>
        <w:rPr>
          <w:rFonts w:hint="eastAsia"/>
        </w:rPr>
        <w:t>12.1</w:t>
      </w:r>
      <w:r>
        <w:rPr>
          <w:rFonts w:eastAsia="Times New Roman"/>
        </w:rPr>
        <w:t>%</w:t>
      </w:r>
      <w:r>
        <w:rPr>
          <w:rFonts w:ascii="新細明體" w:hAnsi="新細明體" w:cs="DFKaiShu-SB-Estd-BF" w:hint="eastAsia"/>
        </w:rPr>
        <w:t>，而</w:t>
      </w:r>
      <w:r>
        <w:rPr>
          <w:rFonts w:ascii="新細明體" w:hAnsi="新細明體" w:cs="新細明體" w:hint="eastAsia"/>
        </w:rPr>
        <w:t>香港入境旅客為</w:t>
      </w:r>
      <w:r>
        <w:rPr>
          <w:rFonts w:hint="eastAsia"/>
        </w:rPr>
        <w:t>51</w:t>
      </w:r>
      <w:r>
        <w:rPr>
          <w:rFonts w:ascii="新細明體" w:hAnsi="新細明體" w:cs="新細明體" w:hint="eastAsia"/>
        </w:rPr>
        <w:t>萬人次，上升</w:t>
      </w:r>
      <w:r>
        <w:rPr>
          <w:rFonts w:hint="eastAsia"/>
        </w:rPr>
        <w:t>9.3</w:t>
      </w:r>
      <w:r>
        <w:t>%</w:t>
      </w:r>
      <w:r w:rsidRPr="00CB1799">
        <w:rPr>
          <w:rFonts w:hint="eastAsia"/>
          <w:kern w:val="0"/>
          <w:szCs w:val="24"/>
          <w:lang w:val="en-GB"/>
        </w:rPr>
        <w:t>。</w:t>
      </w:r>
    </w:p>
    <w:p w:rsidR="00C06D45" w:rsidRPr="00CB1799" w:rsidRDefault="00C06D45" w:rsidP="00C06D45">
      <w:pPr>
        <w:numPr>
          <w:ilvl w:val="0"/>
          <w:numId w:val="4"/>
        </w:num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bookmarkStart w:id="157" w:name="_Hlk517086451"/>
      <w:r>
        <w:rPr>
          <w:rFonts w:ascii="新細明體" w:hAnsi="新細明體" w:cs="新細明體" w:hint="eastAsia"/>
        </w:rPr>
        <w:lastRenderedPageBreak/>
        <w:t>貨物出口</w:t>
      </w:r>
      <w:r>
        <w:rPr>
          <w:rFonts w:ascii="新細明體" w:hAnsi="新細明體" w:cs="新細明體" w:hint="eastAsia"/>
          <w:lang w:val="pt-PT"/>
        </w:rPr>
        <w:t>在</w:t>
      </w:r>
      <w:r>
        <w:rPr>
          <w:rFonts w:cs="新細明體" w:hint="eastAsia"/>
          <w:lang w:val="pt-PT"/>
        </w:rPr>
        <w:t>2018</w:t>
      </w:r>
      <w:r>
        <w:rPr>
          <w:rFonts w:ascii="新細明體" w:hAnsi="新細明體" w:cs="新細明體" w:hint="eastAsia"/>
          <w:lang w:val="pt-PT"/>
        </w:rPr>
        <w:t>年第</w:t>
      </w:r>
      <w:r>
        <w:rPr>
          <w:rFonts w:cs="新細明體" w:hint="eastAsia"/>
          <w:lang w:val="pt-PT"/>
        </w:rPr>
        <w:t>3</w:t>
      </w:r>
      <w:r>
        <w:rPr>
          <w:rFonts w:ascii="新細明體" w:hAnsi="新細明體" w:cs="新細明體" w:hint="eastAsia"/>
          <w:lang w:val="pt-PT"/>
        </w:rPr>
        <w:t>季</w:t>
      </w:r>
      <w:r>
        <w:rPr>
          <w:rFonts w:ascii="新細明體" w:hAnsi="新細明體" w:cs="新細明體" w:hint="eastAsia"/>
          <w:bCs/>
          <w:lang w:val="pt-PT"/>
        </w:rPr>
        <w:t>再次收縮</w:t>
      </w:r>
      <w:r>
        <w:rPr>
          <w:rFonts w:ascii="新細明體" w:hAnsi="新細明體" w:cs="SimSun" w:hint="eastAsia"/>
        </w:rPr>
        <w:t>，按</w:t>
      </w:r>
      <w:r>
        <w:rPr>
          <w:rFonts w:ascii="新細明體" w:hAnsi="新細明體" w:cs="新細明體" w:hint="eastAsia"/>
        </w:rPr>
        <w:t>年下跌</w:t>
      </w:r>
      <w:r>
        <w:rPr>
          <w:rFonts w:hint="eastAsia"/>
        </w:rPr>
        <w:t>8.8</w:t>
      </w:r>
      <w:r>
        <w:rPr>
          <w:rFonts w:eastAsia="DFKaiShu-SB-Estd-BF"/>
        </w:rPr>
        <w:t>%</w:t>
      </w:r>
      <w:r>
        <w:rPr>
          <w:rFonts w:ascii="新細明體" w:hAnsi="新細明體" w:cs="新細明體" w:hint="eastAsia"/>
          <w:sz w:val="26"/>
          <w:szCs w:val="26"/>
        </w:rPr>
        <w:t>至</w:t>
      </w:r>
      <w:r>
        <w:t>3</w:t>
      </w:r>
      <w:r>
        <w:rPr>
          <w:rFonts w:hint="eastAsia"/>
        </w:rPr>
        <w:t>1</w:t>
      </w:r>
      <w:r>
        <w:rPr>
          <w:rFonts w:ascii="新細明體" w:hAnsi="新細明體" w:cs="新細明體" w:hint="eastAsia"/>
          <w:lang w:val="pt-PT"/>
        </w:rPr>
        <w:t>億澳門元</w:t>
      </w:r>
      <w:bookmarkEnd w:id="157"/>
      <w:r w:rsidRPr="00CB1799">
        <w:rPr>
          <w:rFonts w:hint="eastAsia"/>
          <w:kern w:val="0"/>
          <w:szCs w:val="24"/>
        </w:rPr>
        <w:t>。</w:t>
      </w:r>
    </w:p>
    <w:p w:rsidR="00C06D45" w:rsidRPr="00CB1799" w:rsidRDefault="00C06D45" w:rsidP="00C06D45">
      <w:pPr>
        <w:numPr>
          <w:ilvl w:val="0"/>
          <w:numId w:val="4"/>
        </w:num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bookmarkStart w:id="158" w:name="_Hlk517086474"/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年第</w:t>
      </w:r>
      <w:r>
        <w:rPr>
          <w:rFonts w:hint="eastAsia"/>
        </w:rPr>
        <w:t>3</w:t>
      </w:r>
      <w:r>
        <w:rPr>
          <w:rFonts w:ascii="新細明體" w:hAnsi="新細明體" w:cs="新細明體" w:hint="eastAsia"/>
        </w:rPr>
        <w:t>季貨物進口按年上升</w:t>
      </w:r>
      <w:r>
        <w:rPr>
          <w:rFonts w:hint="eastAsia"/>
        </w:rPr>
        <w:t>2.9</w:t>
      </w:r>
      <w:r>
        <w:t>%</w:t>
      </w:r>
      <w:r>
        <w:rPr>
          <w:rFonts w:ascii="新細明體" w:hAnsi="新細明體" w:cs="DFKaiShu-SB-Estd-BF" w:hint="eastAsia"/>
        </w:rPr>
        <w:t>，</w:t>
      </w:r>
      <w:r>
        <w:rPr>
          <w:rFonts w:hint="eastAsia"/>
        </w:rPr>
        <w:t>至</w:t>
      </w:r>
      <w:r>
        <w:rPr>
          <w:rFonts w:hint="eastAsia"/>
        </w:rPr>
        <w:t>249</w:t>
      </w:r>
      <w:r>
        <w:rPr>
          <w:rFonts w:hint="eastAsia"/>
        </w:rPr>
        <w:t>億澳門元</w:t>
      </w:r>
      <w:r>
        <w:rPr>
          <w:rFonts w:ascii="新細明體" w:hAnsi="新細明體" w:cs="新細明體" w:hint="eastAsia"/>
        </w:rPr>
        <w:t>，而服務進口隨</w:t>
      </w:r>
      <w:r>
        <w:rPr>
          <w:rFonts w:hint="eastAsia"/>
        </w:rPr>
        <w:t>着</w:t>
      </w:r>
      <w:r>
        <w:rPr>
          <w:rFonts w:ascii="新細明體" w:hAnsi="新細明體" w:cs="新細明體" w:hint="eastAsia"/>
        </w:rPr>
        <w:t>博彩服務出口</w:t>
      </w:r>
      <w:r>
        <w:rPr>
          <w:rFonts w:ascii="新細明體" w:hAnsi="新細明體" w:cs="新細明體" w:hint="eastAsia"/>
          <w:bCs/>
        </w:rPr>
        <w:t>放緩</w:t>
      </w:r>
      <w:r>
        <w:rPr>
          <w:rFonts w:ascii="新細明體" w:hAnsi="新細明體" w:cs="DFKaiShu-SB-Estd-BF" w:hint="eastAsia"/>
        </w:rPr>
        <w:t>，</w:t>
      </w:r>
      <w:r>
        <w:rPr>
          <w:rFonts w:ascii="新細明體" w:hAnsi="新細明體" w:cs="新細明體" w:hint="eastAsia"/>
        </w:rPr>
        <w:t>按年只上升</w:t>
      </w:r>
      <w:r>
        <w:rPr>
          <w:rFonts w:hint="eastAsia"/>
        </w:rPr>
        <w:t>3.0</w:t>
      </w:r>
      <w:r>
        <w:t>%</w:t>
      </w:r>
      <w:r>
        <w:rPr>
          <w:rFonts w:hint="eastAsia"/>
        </w:rPr>
        <w:t>至</w:t>
      </w:r>
      <w:r>
        <w:rPr>
          <w:rFonts w:hint="eastAsia"/>
        </w:rPr>
        <w:t>9</w:t>
      </w:r>
      <w:r>
        <w:t>3</w:t>
      </w:r>
      <w:r>
        <w:rPr>
          <w:rFonts w:hint="eastAsia"/>
        </w:rPr>
        <w:t>億澳門元</w:t>
      </w:r>
      <w:bookmarkEnd w:id="158"/>
      <w:r w:rsidRPr="00CB1799">
        <w:rPr>
          <w:rFonts w:hint="eastAsia"/>
          <w:kern w:val="0"/>
          <w:szCs w:val="24"/>
          <w:lang w:val="en-GB"/>
        </w:rPr>
        <w:t>。</w:t>
      </w:r>
    </w:p>
    <w:p w:rsidR="00C06D45" w:rsidRPr="00CB1799" w:rsidRDefault="00C06D45" w:rsidP="00C06D45">
      <w:pPr>
        <w:numPr>
          <w:ilvl w:val="0"/>
          <w:numId w:val="4"/>
        </w:num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bookmarkStart w:id="159" w:name="_Hlk517086503"/>
      <w:r>
        <w:rPr>
          <w:rFonts w:ascii="新細明體" w:hAnsi="新細明體" w:cs="新細明體" w:hint="eastAsia"/>
        </w:rPr>
        <w:t>按貨物進口種類分析，隨着居民消費穩定增長，消費品進口在</w:t>
      </w:r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年第</w:t>
      </w:r>
      <w:r>
        <w:rPr>
          <w:rFonts w:hint="eastAsia"/>
        </w:rPr>
        <w:t>3</w:t>
      </w:r>
      <w:r>
        <w:rPr>
          <w:rFonts w:ascii="新細明體" w:hAnsi="新細明體" w:cs="新細明體" w:hint="eastAsia"/>
        </w:rPr>
        <w:t>季按年上升</w:t>
      </w:r>
      <w:r>
        <w:t>1</w:t>
      </w:r>
      <w:r>
        <w:rPr>
          <w:rFonts w:hint="eastAsia"/>
        </w:rPr>
        <w:t>6</w:t>
      </w:r>
      <w:r>
        <w:t>.9%</w:t>
      </w:r>
      <w:r>
        <w:rPr>
          <w:rFonts w:ascii="新細明體" w:hAnsi="新細明體" w:cs="新細明體" w:hint="eastAsia"/>
        </w:rPr>
        <w:t>；原料以及半製成品進口按年上升</w:t>
      </w:r>
      <w:r>
        <w:rPr>
          <w:rFonts w:hint="eastAsia"/>
        </w:rPr>
        <w:t>17.6</w:t>
      </w:r>
      <w:r>
        <w:t>%</w:t>
      </w:r>
      <w:r>
        <w:rPr>
          <w:rFonts w:ascii="新細明體" w:hAnsi="新細明體" w:cs="新細明體" w:hint="eastAsia"/>
        </w:rPr>
        <w:t>；而資本貨物進口則按年上升</w:t>
      </w:r>
      <w:r>
        <w:rPr>
          <w:rFonts w:hint="eastAsia"/>
        </w:rPr>
        <w:t>18.9</w:t>
      </w:r>
      <w:r>
        <w:t>%</w:t>
      </w:r>
      <w:bookmarkEnd w:id="159"/>
      <w:r w:rsidRPr="00CB1799">
        <w:rPr>
          <w:rFonts w:hint="eastAsia"/>
          <w:kern w:val="0"/>
          <w:szCs w:val="24"/>
          <w:lang w:val="en-GB"/>
        </w:rPr>
        <w:t>。</w:t>
      </w:r>
    </w:p>
    <w:p w:rsidR="00C06D45" w:rsidRPr="00CB1799" w:rsidRDefault="00C06D45" w:rsidP="00C06D45">
      <w:pPr>
        <w:numPr>
          <w:ilvl w:val="0"/>
          <w:numId w:val="4"/>
        </w:num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bookmarkStart w:id="160" w:name="_Hlk517086525"/>
      <w:r>
        <w:rPr>
          <w:rFonts w:ascii="新細明體" w:hAnsi="新細明體" w:cs="新細明體" w:hint="eastAsia"/>
        </w:rPr>
        <w:t>隨着收入穩定，本澳</w:t>
      </w:r>
      <w:r>
        <w:rPr>
          <w:rFonts w:hint="eastAsia"/>
          <w:bCs/>
        </w:rPr>
        <w:t>居民</w:t>
      </w:r>
      <w:r>
        <w:rPr>
          <w:rFonts w:ascii="新細明體" w:hAnsi="新細明體" w:cs="新細明體" w:hint="eastAsia"/>
        </w:rPr>
        <w:t>消費温和增長，</w:t>
      </w:r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年第</w:t>
      </w:r>
      <w:r>
        <w:rPr>
          <w:rFonts w:hint="eastAsia"/>
        </w:rPr>
        <w:t>3</w:t>
      </w:r>
      <w:r>
        <w:rPr>
          <w:rFonts w:ascii="新細明體" w:hAnsi="新細明體" w:cs="新細明體" w:hint="eastAsia"/>
        </w:rPr>
        <w:t>季私人消費支出為</w:t>
      </w:r>
      <w:r>
        <w:rPr>
          <w:rFonts w:hint="eastAsia"/>
        </w:rPr>
        <w:t>2</w:t>
      </w:r>
      <w:r>
        <w:t>5</w:t>
      </w:r>
      <w:r>
        <w:rPr>
          <w:rFonts w:hint="eastAsia"/>
        </w:rPr>
        <w:t>3</w:t>
      </w:r>
      <w:r>
        <w:rPr>
          <w:rFonts w:hint="eastAsia"/>
        </w:rPr>
        <w:t>億澳門元</w:t>
      </w:r>
      <w:r>
        <w:rPr>
          <w:rFonts w:ascii="新細明體" w:hAnsi="新細明體" w:cs="新細明體" w:hint="eastAsia"/>
        </w:rPr>
        <w:t>，按年上升</w:t>
      </w:r>
      <w:r>
        <w:rPr>
          <w:rFonts w:cs="新細明體" w:hint="eastAsia"/>
        </w:rPr>
        <w:t>4.1%</w:t>
      </w:r>
      <w:r>
        <w:rPr>
          <w:rFonts w:ascii="新細明體" w:hAnsi="新細明體" w:cs="新細明體" w:hint="eastAsia"/>
        </w:rPr>
        <w:t>。其中住戶本地最終消費及在外地之最終消費分別按年上升</w:t>
      </w:r>
      <w:r>
        <w:rPr>
          <w:rFonts w:hint="eastAsia"/>
        </w:rPr>
        <w:t>3.8</w:t>
      </w:r>
      <w:r>
        <w:t>%</w:t>
      </w:r>
      <w:r>
        <w:rPr>
          <w:rFonts w:ascii="新細明體" w:hAnsi="新細明體" w:cs="新細明體" w:hint="eastAsia"/>
        </w:rPr>
        <w:t>及</w:t>
      </w:r>
      <w:r>
        <w:rPr>
          <w:rFonts w:hint="eastAsia"/>
        </w:rPr>
        <w:t>5.9</w:t>
      </w:r>
      <w:r>
        <w:t>%</w:t>
      </w:r>
      <w:bookmarkEnd w:id="160"/>
      <w:r w:rsidRPr="00CB1799">
        <w:rPr>
          <w:rFonts w:hint="eastAsia"/>
          <w:kern w:val="0"/>
          <w:szCs w:val="24"/>
        </w:rPr>
        <w:t>。</w:t>
      </w:r>
    </w:p>
    <w:p w:rsidR="00C06D45" w:rsidRPr="00CB1799" w:rsidRDefault="00C06D45" w:rsidP="00C06D45">
      <w:pPr>
        <w:numPr>
          <w:ilvl w:val="0"/>
          <w:numId w:val="4"/>
        </w:num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bookmarkStart w:id="161" w:name="_Hlk517086546"/>
      <w:r>
        <w:rPr>
          <w:rFonts w:hint="eastAsia"/>
        </w:rPr>
        <w:t>隨着主要賭場及酒店</w:t>
      </w:r>
      <w:r>
        <w:rPr>
          <w:rFonts w:ascii="新細明體" w:hAnsi="新細明體" w:cs="新細明體" w:hint="eastAsia"/>
        </w:rPr>
        <w:t>落成，私人投資持續收縮。</w:t>
      </w:r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年第</w:t>
      </w:r>
      <w:r>
        <w:rPr>
          <w:rFonts w:hint="eastAsia"/>
        </w:rPr>
        <w:t>3</w:t>
      </w:r>
      <w:r>
        <w:rPr>
          <w:rFonts w:ascii="新細明體" w:hAnsi="新細明體" w:cs="新細明體" w:hint="eastAsia"/>
        </w:rPr>
        <w:t>季私人投資按年</w:t>
      </w:r>
      <w:r>
        <w:rPr>
          <w:rFonts w:ascii="新細明體" w:hAnsi="新細明體" w:cs="DFKaiShu-SB-Estd-BF" w:hint="eastAsia"/>
        </w:rPr>
        <w:t>下跌</w:t>
      </w:r>
      <w:r>
        <w:rPr>
          <w:rFonts w:hint="eastAsia"/>
        </w:rPr>
        <w:t>17.8</w:t>
      </w:r>
      <w:r>
        <w:t>%</w:t>
      </w:r>
      <w:r>
        <w:rPr>
          <w:rFonts w:ascii="新細明體" w:hAnsi="新細明體" w:cs="新細明體" w:hint="eastAsia"/>
        </w:rPr>
        <w:t>至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2</w:t>
      </w:r>
      <w:r>
        <w:rPr>
          <w:rFonts w:ascii="新細明體" w:hAnsi="新細明體" w:cs="新細明體" w:hint="eastAsia"/>
        </w:rPr>
        <w:t>億澳門元，而公共投資則按年</w:t>
      </w:r>
      <w:r>
        <w:rPr>
          <w:rFonts w:ascii="新細明體" w:hAnsi="新細明體" w:cs="DFKaiShu-SB-Estd-BF" w:hint="eastAsia"/>
        </w:rPr>
        <w:t>下跌</w:t>
      </w:r>
      <w:r>
        <w:rPr>
          <w:rFonts w:hint="eastAsia"/>
        </w:rPr>
        <w:t>32.7</w:t>
      </w:r>
      <w:r>
        <w:t>%</w:t>
      </w:r>
      <w:r>
        <w:rPr>
          <w:rFonts w:ascii="新細明體" w:hAnsi="新細明體" w:cs="新細明體" w:hint="eastAsia"/>
        </w:rPr>
        <w:t>。最終固定資本形成總額按年</w:t>
      </w:r>
      <w:r>
        <w:rPr>
          <w:rFonts w:ascii="新細明體" w:hAnsi="新細明體" w:cs="DFKaiShu-SB-Estd-BF" w:hint="eastAsia"/>
        </w:rPr>
        <w:t>下跌</w:t>
      </w:r>
      <w:r>
        <w:rPr>
          <w:rFonts w:hint="eastAsia"/>
        </w:rPr>
        <w:t>20.1</w:t>
      </w:r>
      <w:r>
        <w:t>%</w:t>
      </w:r>
      <w:r>
        <w:rPr>
          <w:rFonts w:ascii="新細明體" w:hAnsi="新細明體" w:cs="新細明體" w:hint="eastAsia"/>
        </w:rPr>
        <w:t>至</w:t>
      </w:r>
      <w:r>
        <w:t>1</w:t>
      </w:r>
      <w:r>
        <w:rPr>
          <w:rFonts w:hint="eastAsia"/>
        </w:rPr>
        <w:t>40</w:t>
      </w:r>
      <w:r>
        <w:rPr>
          <w:rFonts w:ascii="新細明體" w:hAnsi="新細明體" w:cs="新細明體" w:hint="eastAsia"/>
        </w:rPr>
        <w:t>億澳門元。私人建築投資及設備投資分別</w:t>
      </w:r>
      <w:r>
        <w:rPr>
          <w:rFonts w:ascii="新細明體" w:hAnsi="新細明體" w:cs="DFKaiShu-SB-Estd-BF" w:hint="eastAsia"/>
        </w:rPr>
        <w:t>按</w:t>
      </w:r>
      <w:r>
        <w:rPr>
          <w:rFonts w:ascii="新細明體" w:hAnsi="新細明體" w:cs="新細明體" w:hint="eastAsia"/>
        </w:rPr>
        <w:t>年</w:t>
      </w:r>
      <w:r>
        <w:rPr>
          <w:rFonts w:ascii="新細明體" w:hAnsi="新細明體" w:cs="DFKaiShu-SB-Estd-BF" w:hint="eastAsia"/>
        </w:rPr>
        <w:t>下跌</w:t>
      </w:r>
      <w:r>
        <w:rPr>
          <w:rFonts w:hint="eastAsia"/>
        </w:rPr>
        <w:t>20.6</w:t>
      </w:r>
      <w:r>
        <w:t>%</w:t>
      </w:r>
      <w:r>
        <w:rPr>
          <w:rFonts w:ascii="新細明體" w:hAnsi="新細明體" w:cs="新細明體" w:hint="eastAsia"/>
        </w:rPr>
        <w:t>和</w:t>
      </w:r>
      <w:r>
        <w:rPr>
          <w:rFonts w:hint="eastAsia"/>
        </w:rPr>
        <w:t>1.0</w:t>
      </w:r>
      <w:r>
        <w:t>%</w:t>
      </w:r>
      <w:bookmarkEnd w:id="161"/>
      <w:r w:rsidRPr="00CB1799">
        <w:rPr>
          <w:rFonts w:hint="eastAsia"/>
          <w:kern w:val="0"/>
          <w:szCs w:val="24"/>
          <w:lang w:val="en-GB"/>
        </w:rPr>
        <w:t>。</w:t>
      </w:r>
    </w:p>
    <w:p w:rsidR="00C06D45" w:rsidRPr="00CB1799" w:rsidRDefault="00C06D45" w:rsidP="00C06D45">
      <w:pPr>
        <w:numPr>
          <w:ilvl w:val="0"/>
          <w:numId w:val="4"/>
        </w:num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bookmarkStart w:id="162" w:name="_Hlk517086576"/>
      <w:r>
        <w:rPr>
          <w:rFonts w:ascii="新細明體" w:hAnsi="新細明體" w:cs="新細明體" w:hint="eastAsia"/>
        </w:rPr>
        <w:t>物業市場方面，</w:t>
      </w:r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</w:t>
      </w:r>
      <w:r>
        <w:rPr>
          <w:rFonts w:ascii="新細明體" w:hAnsi="新細明體" w:cs="DFKaiShu-SB-Estd-BF" w:hint="eastAsia"/>
        </w:rPr>
        <w:t>第</w:t>
      </w:r>
      <w:r>
        <w:rPr>
          <w:rFonts w:hint="eastAsia"/>
        </w:rPr>
        <w:t>3</w:t>
      </w:r>
      <w:r>
        <w:rPr>
          <w:rFonts w:ascii="新細明體" w:hAnsi="新細明體" w:cs="DFKaiShu-SB-Estd-BF" w:hint="eastAsia"/>
        </w:rPr>
        <w:t>季住宅</w:t>
      </w:r>
      <w:r>
        <w:rPr>
          <w:rFonts w:ascii="新細明體" w:hAnsi="新細明體" w:cs="新細明體" w:hint="eastAsia"/>
        </w:rPr>
        <w:t>交投放緩，</w:t>
      </w:r>
      <w:r>
        <w:rPr>
          <w:rFonts w:ascii="新細明體" w:hAnsi="新細明體" w:cs="DFKaiShu-SB-Estd-BF" w:hint="eastAsia"/>
        </w:rPr>
        <w:t>住宅</w:t>
      </w:r>
      <w:r>
        <w:rPr>
          <w:rFonts w:ascii="新細明體" w:hAnsi="新細明體" w:cs="SimSun" w:hint="eastAsia"/>
        </w:rPr>
        <w:t>單位買賣共</w:t>
      </w:r>
      <w:r>
        <w:rPr>
          <w:rFonts w:hint="eastAsia"/>
        </w:rPr>
        <w:t>2,383</w:t>
      </w:r>
      <w:r>
        <w:rPr>
          <w:rFonts w:ascii="新細明體" w:hAnsi="新細明體" w:cs="DFKaiShu-SB-Estd-BF" w:hint="eastAsia"/>
        </w:rPr>
        <w:t>個，總值</w:t>
      </w:r>
      <w:r>
        <w:t>1</w:t>
      </w:r>
      <w:r>
        <w:rPr>
          <w:rFonts w:hint="eastAsia"/>
        </w:rPr>
        <w:t>45</w:t>
      </w:r>
      <w:r>
        <w:rPr>
          <w:rFonts w:ascii="新細明體" w:hAnsi="新細明體" w:cs="DFKaiShu-SB-Estd-BF" w:hint="eastAsia"/>
        </w:rPr>
        <w:t>億</w:t>
      </w:r>
      <w:r>
        <w:rPr>
          <w:rFonts w:ascii="新細明體" w:hAnsi="新細明體" w:cs="新細明體" w:hint="eastAsia"/>
        </w:rPr>
        <w:t>澳門</w:t>
      </w:r>
      <w:r>
        <w:rPr>
          <w:rFonts w:ascii="新細明體" w:hAnsi="新細明體" w:cs="DFKaiShu-SB-Estd-BF" w:hint="eastAsia"/>
        </w:rPr>
        <w:t>元，分別</w:t>
      </w:r>
      <w:r>
        <w:rPr>
          <w:rFonts w:ascii="新細明體" w:hAnsi="新細明體" w:cs="新細明體" w:hint="eastAsia"/>
        </w:rPr>
        <w:t>按</w:t>
      </w:r>
      <w:r>
        <w:rPr>
          <w:rFonts w:ascii="新細明體" w:hAnsi="新細明體" w:cs="DFKaiShu-SB-Estd-BF" w:hint="eastAsia"/>
        </w:rPr>
        <w:t>季下跌</w:t>
      </w:r>
      <w:r>
        <w:rPr>
          <w:rFonts w:hint="eastAsia"/>
        </w:rPr>
        <w:t>22.0</w:t>
      </w:r>
      <w:r>
        <w:t>%</w:t>
      </w:r>
      <w:r>
        <w:rPr>
          <w:rFonts w:ascii="新細明體" w:hAnsi="新細明體" w:cs="DFKaiShu-SB-Estd-BF" w:hint="eastAsia"/>
        </w:rPr>
        <w:t>及</w:t>
      </w:r>
      <w:r>
        <w:rPr>
          <w:rFonts w:hint="eastAsia"/>
        </w:rPr>
        <w:t>24.5</w:t>
      </w:r>
      <w:r>
        <w:t>%</w:t>
      </w:r>
      <w:r>
        <w:rPr>
          <w:rFonts w:ascii="新細明體" w:hAnsi="新細明體" w:cs="DFKaiShu-SB-Estd-BF" w:hint="eastAsia"/>
        </w:rPr>
        <w:t>。</w:t>
      </w:r>
      <w:bookmarkEnd w:id="162"/>
      <w:r>
        <w:rPr>
          <w:rFonts w:ascii="新細明體" w:hAnsi="新細明體" w:cs="DFKaiShu-SB-Estd-BF" w:hint="eastAsia"/>
        </w:rPr>
        <w:t>其中成交價超過</w:t>
      </w:r>
      <w:r>
        <w:rPr>
          <w:rFonts w:hint="eastAsia"/>
        </w:rPr>
        <w:t>1</w:t>
      </w:r>
      <w:proofErr w:type="gramStart"/>
      <w:r>
        <w:rPr>
          <w:rFonts w:hint="eastAsia"/>
        </w:rPr>
        <w:t>千萬</w:t>
      </w:r>
      <w:proofErr w:type="gramEnd"/>
      <w:r>
        <w:rPr>
          <w:rFonts w:ascii="新細明體" w:hAnsi="新細明體" w:cs="DFKaiShu-SB-Estd-BF" w:hint="eastAsia"/>
        </w:rPr>
        <w:t>澳門元為</w:t>
      </w:r>
      <w:r>
        <w:rPr>
          <w:rFonts w:hint="eastAsia"/>
        </w:rPr>
        <w:t>216</w:t>
      </w:r>
      <w:r>
        <w:rPr>
          <w:rFonts w:hint="eastAsia"/>
        </w:rPr>
        <w:t>個</w:t>
      </w:r>
      <w:r>
        <w:rPr>
          <w:rFonts w:ascii="新細明體" w:hAnsi="新細明體" w:cs="新細明體" w:hint="eastAsia"/>
        </w:rPr>
        <w:t>，</w:t>
      </w:r>
      <w:r>
        <w:rPr>
          <w:rFonts w:ascii="新細明體" w:hAnsi="新細明體" w:cs="DFKaiShu-SB-Estd-BF" w:hint="eastAsia"/>
        </w:rPr>
        <w:t>在</w:t>
      </w:r>
      <w:r>
        <w:rPr>
          <w:rFonts w:hint="eastAsia"/>
        </w:rPr>
        <w:t>4</w:t>
      </w:r>
      <w:proofErr w:type="gramStart"/>
      <w:r>
        <w:rPr>
          <w:rFonts w:hint="eastAsia"/>
        </w:rPr>
        <w:t>百萬</w:t>
      </w:r>
      <w:proofErr w:type="gramEnd"/>
      <w:r>
        <w:rPr>
          <w:rFonts w:ascii="新細明體" w:hAnsi="新細明體" w:cs="DFKaiShu-SB-Estd-BF" w:hint="eastAsia"/>
        </w:rPr>
        <w:t>澳門元和</w:t>
      </w:r>
      <w:r>
        <w:rPr>
          <w:rFonts w:hint="eastAsia"/>
        </w:rPr>
        <w:t>1</w:t>
      </w:r>
      <w:proofErr w:type="gramStart"/>
      <w:r>
        <w:rPr>
          <w:rFonts w:hint="eastAsia"/>
        </w:rPr>
        <w:t>千萬</w:t>
      </w:r>
      <w:proofErr w:type="gramEnd"/>
      <w:r>
        <w:rPr>
          <w:rFonts w:ascii="新細明體" w:hAnsi="新細明體" w:cs="DFKaiShu-SB-Estd-BF" w:hint="eastAsia"/>
        </w:rPr>
        <w:t>澳門元之間為</w:t>
      </w:r>
      <w:r>
        <w:t>1,</w:t>
      </w:r>
      <w:r>
        <w:rPr>
          <w:rFonts w:hint="eastAsia"/>
        </w:rPr>
        <w:t>396</w:t>
      </w:r>
      <w:r>
        <w:rPr>
          <w:rFonts w:hint="eastAsia"/>
        </w:rPr>
        <w:t>個</w:t>
      </w:r>
      <w:r>
        <w:rPr>
          <w:rFonts w:ascii="新細明體" w:hAnsi="新細明體" w:cs="新細明體" w:hint="eastAsia"/>
        </w:rPr>
        <w:t>，</w:t>
      </w:r>
      <w:r>
        <w:rPr>
          <w:rFonts w:ascii="新細明體" w:hAnsi="新細明體" w:cs="DFKaiShu-SB-Estd-BF" w:hint="eastAsia"/>
        </w:rPr>
        <w:t>在</w:t>
      </w:r>
      <w:r>
        <w:rPr>
          <w:rFonts w:hint="eastAsia"/>
        </w:rPr>
        <w:t>2</w:t>
      </w:r>
      <w:proofErr w:type="gramStart"/>
      <w:r>
        <w:rPr>
          <w:rFonts w:hint="eastAsia"/>
        </w:rPr>
        <w:t>百萬</w:t>
      </w:r>
      <w:proofErr w:type="gramEnd"/>
      <w:r>
        <w:rPr>
          <w:rFonts w:ascii="新細明體" w:hAnsi="新細明體" w:cs="DFKaiShu-SB-Estd-BF" w:hint="eastAsia"/>
        </w:rPr>
        <w:t>澳門元和</w:t>
      </w:r>
      <w:r>
        <w:rPr>
          <w:rFonts w:hint="eastAsia"/>
        </w:rPr>
        <w:t>4</w:t>
      </w:r>
      <w:proofErr w:type="gramStart"/>
      <w:r>
        <w:rPr>
          <w:rFonts w:hint="eastAsia"/>
        </w:rPr>
        <w:t>百萬</w:t>
      </w:r>
      <w:proofErr w:type="gramEnd"/>
      <w:r>
        <w:rPr>
          <w:rFonts w:ascii="新細明體" w:hAnsi="新細明體" w:cs="DFKaiShu-SB-Estd-BF" w:hint="eastAsia"/>
        </w:rPr>
        <w:t>澳門元之間為</w:t>
      </w:r>
      <w:r>
        <w:rPr>
          <w:rFonts w:hint="eastAsia"/>
        </w:rPr>
        <w:t>626</w:t>
      </w:r>
      <w:r>
        <w:rPr>
          <w:rFonts w:hint="eastAsia"/>
        </w:rPr>
        <w:t>個</w:t>
      </w:r>
      <w:r>
        <w:rPr>
          <w:rFonts w:ascii="新細明體" w:hAnsi="新細明體" w:cs="新細明體" w:hint="eastAsia"/>
        </w:rPr>
        <w:t>，而</w:t>
      </w:r>
      <w:r>
        <w:rPr>
          <w:rFonts w:ascii="新細明體" w:hAnsi="新細明體" w:cs="DFKaiShu-SB-Estd-BF" w:hint="eastAsia"/>
        </w:rPr>
        <w:t>低於</w:t>
      </w:r>
      <w:r>
        <w:rPr>
          <w:rFonts w:hint="eastAsia"/>
        </w:rPr>
        <w:t>2</w:t>
      </w:r>
      <w:proofErr w:type="gramStart"/>
      <w:r>
        <w:rPr>
          <w:rFonts w:hint="eastAsia"/>
        </w:rPr>
        <w:t>百萬</w:t>
      </w:r>
      <w:proofErr w:type="gramEnd"/>
      <w:r>
        <w:rPr>
          <w:rFonts w:ascii="新細明體" w:hAnsi="新細明體" w:cs="DFKaiShu-SB-Estd-BF" w:hint="eastAsia"/>
        </w:rPr>
        <w:t>澳門元為</w:t>
      </w:r>
      <w:r>
        <w:t>1</w:t>
      </w:r>
      <w:r>
        <w:rPr>
          <w:rFonts w:hint="eastAsia"/>
        </w:rPr>
        <w:t>45</w:t>
      </w:r>
      <w:r>
        <w:rPr>
          <w:rFonts w:hint="eastAsia"/>
        </w:rPr>
        <w:t>個</w:t>
      </w:r>
      <w:r>
        <w:rPr>
          <w:rFonts w:ascii="新細明體" w:hAnsi="新細明體" w:cs="DFKaiShu-SB-Estd-BF" w:hint="eastAsia"/>
        </w:rPr>
        <w:t>。以單位面積計算</w:t>
      </w:r>
      <w:r>
        <w:rPr>
          <w:rFonts w:ascii="新細明體" w:hAnsi="新細明體" w:cs="新細明體" w:hint="eastAsia"/>
        </w:rPr>
        <w:t>，</w:t>
      </w:r>
      <w:proofErr w:type="gramStart"/>
      <w:r>
        <w:rPr>
          <w:rFonts w:ascii="新細明體" w:hAnsi="新細明體" w:cs="新細明體" w:hint="eastAsia"/>
        </w:rPr>
        <w:t>佔</w:t>
      </w:r>
      <w:proofErr w:type="gramEnd"/>
      <w:r>
        <w:rPr>
          <w:rFonts w:ascii="新細明體" w:hAnsi="新細明體" w:cs="新細明體" w:hint="eastAsia"/>
        </w:rPr>
        <w:t>總數</w:t>
      </w:r>
      <w:r>
        <w:t>45.</w:t>
      </w:r>
      <w:r>
        <w:rPr>
          <w:rFonts w:hint="eastAsia"/>
        </w:rPr>
        <w:t>1</w:t>
      </w:r>
      <w:r>
        <w:t xml:space="preserve">% </w:t>
      </w:r>
      <w:r>
        <w:rPr>
          <w:rFonts w:hint="eastAsia"/>
        </w:rPr>
        <w:t>的</w:t>
      </w:r>
      <w:r>
        <w:rPr>
          <w:rFonts w:hint="eastAsia"/>
        </w:rPr>
        <w:t>1,074</w:t>
      </w:r>
      <w:r>
        <w:rPr>
          <w:rFonts w:ascii="新細明體" w:hAnsi="新細明體" w:cs="DFKaiShu-SB-Estd-BF" w:hint="eastAsia"/>
        </w:rPr>
        <w:t>住宅</w:t>
      </w:r>
      <w:r>
        <w:rPr>
          <w:rFonts w:ascii="新細明體" w:hAnsi="新細明體" w:cs="SimSun" w:hint="eastAsia"/>
        </w:rPr>
        <w:t>單位</w:t>
      </w:r>
      <w:proofErr w:type="gramStart"/>
      <w:r>
        <w:rPr>
          <w:rFonts w:ascii="新細明體" w:hAnsi="新細明體" w:cs="DFKaiShu-SB-Estd-BF" w:hint="eastAsia"/>
        </w:rPr>
        <w:t>介</w:t>
      </w:r>
      <w:proofErr w:type="gramEnd"/>
      <w:r>
        <w:rPr>
          <w:rFonts w:ascii="新細明體" w:hAnsi="新細明體" w:cs="DFKaiShu-SB-Estd-BF" w:hint="eastAsia"/>
        </w:rPr>
        <w:t>乎</w:t>
      </w:r>
      <w:r>
        <w:rPr>
          <w:rFonts w:hint="eastAsia"/>
        </w:rPr>
        <w:t>50</w:t>
      </w:r>
      <w:r>
        <w:rPr>
          <w:rFonts w:hint="eastAsia"/>
        </w:rPr>
        <w:t>和</w:t>
      </w:r>
      <w:r>
        <w:rPr>
          <w:rFonts w:hint="eastAsia"/>
        </w:rPr>
        <w:t>99.9</w:t>
      </w:r>
      <w:r>
        <w:rPr>
          <w:rFonts w:ascii="新細明體" w:hAnsi="新細明體" w:cs="DFKaiShu-SB-Estd-BF" w:hint="eastAsia"/>
        </w:rPr>
        <w:t>平方米。</w:t>
      </w:r>
      <w:bookmarkStart w:id="163" w:name="_Hlk517086589"/>
      <w:r>
        <w:rPr>
          <w:rFonts w:ascii="新細明體" w:hAnsi="新細明體" w:cs="DFKaiShu-SB-Estd-BF" w:hint="eastAsia"/>
        </w:rPr>
        <w:t>住宅單位平均成交價</w:t>
      </w:r>
      <w:r>
        <w:rPr>
          <w:rFonts w:ascii="新細明體" w:hAnsi="新細明體" w:cs="新細明體" w:hint="eastAsia"/>
        </w:rPr>
        <w:t>按</w:t>
      </w:r>
      <w:r>
        <w:rPr>
          <w:rFonts w:ascii="新細明體" w:hAnsi="新細明體" w:cs="DFKaiShu-SB-Estd-BF" w:hint="eastAsia"/>
        </w:rPr>
        <w:t>季下跌</w:t>
      </w:r>
      <w:r>
        <w:rPr>
          <w:rFonts w:hint="eastAsia"/>
        </w:rPr>
        <w:t>3.5</w:t>
      </w:r>
      <w:r>
        <w:t>%</w:t>
      </w:r>
      <w:r>
        <w:rPr>
          <w:rFonts w:ascii="新細明體" w:hAnsi="新細明體" w:cs="新細明體" w:hint="eastAsia"/>
        </w:rPr>
        <w:t>，</w:t>
      </w:r>
      <w:r>
        <w:rPr>
          <w:rFonts w:ascii="新細明體" w:hAnsi="新細明體" w:cs="DFKaiShu-SB-Estd-BF" w:hint="eastAsia"/>
        </w:rPr>
        <w:t>每平方米為</w:t>
      </w:r>
      <w:r>
        <w:rPr>
          <w:rFonts w:hint="eastAsia"/>
        </w:rPr>
        <w:t>103,844</w:t>
      </w:r>
      <w:r>
        <w:rPr>
          <w:rFonts w:ascii="新細明體" w:hAnsi="新細明體" w:cs="DFKaiShu-SB-Estd-BF" w:hint="eastAsia"/>
        </w:rPr>
        <w:t>澳門元。其中單位面積</w:t>
      </w:r>
      <w:proofErr w:type="gramStart"/>
      <w:r>
        <w:rPr>
          <w:rFonts w:ascii="新細明體" w:hAnsi="新細明體" w:cs="DFKaiShu-SB-Estd-BF" w:hint="eastAsia"/>
        </w:rPr>
        <w:t>介</w:t>
      </w:r>
      <w:proofErr w:type="gramEnd"/>
      <w:r>
        <w:rPr>
          <w:rFonts w:ascii="新細明體" w:hAnsi="新細明體" w:cs="DFKaiShu-SB-Estd-BF" w:hint="eastAsia"/>
        </w:rPr>
        <w:t>乎</w:t>
      </w:r>
      <w:r>
        <w:rPr>
          <w:rFonts w:hint="eastAsia"/>
        </w:rPr>
        <w:t>50</w:t>
      </w:r>
      <w:r>
        <w:rPr>
          <w:rFonts w:hint="eastAsia"/>
        </w:rPr>
        <w:t>和</w:t>
      </w:r>
      <w:r>
        <w:rPr>
          <w:rFonts w:hint="eastAsia"/>
        </w:rPr>
        <w:t>99.9</w:t>
      </w:r>
      <w:r>
        <w:rPr>
          <w:rFonts w:ascii="新細明體" w:hAnsi="新細明體" w:cs="DFKaiShu-SB-Estd-BF" w:hint="eastAsia"/>
        </w:rPr>
        <w:t>平方米，平均成交價</w:t>
      </w:r>
      <w:r>
        <w:rPr>
          <w:rFonts w:ascii="新細明體" w:hAnsi="新細明體" w:cs="新細明體" w:hint="eastAsia"/>
        </w:rPr>
        <w:t>按</w:t>
      </w:r>
      <w:r>
        <w:rPr>
          <w:rFonts w:ascii="新細明體" w:hAnsi="新細明體" w:cs="DFKaiShu-SB-Estd-BF" w:hint="eastAsia"/>
        </w:rPr>
        <w:t>季下跌</w:t>
      </w:r>
      <w:r>
        <w:rPr>
          <w:rFonts w:hint="eastAsia"/>
        </w:rPr>
        <w:t>5.1</w:t>
      </w:r>
      <w:r>
        <w:t>%</w:t>
      </w:r>
      <w:r>
        <w:rPr>
          <w:rFonts w:ascii="新細明體" w:hAnsi="新細明體" w:cs="DFKaiShu-SB-Estd-BF" w:hint="eastAsia"/>
        </w:rPr>
        <w:t>，</w:t>
      </w:r>
      <w:r>
        <w:rPr>
          <w:rFonts w:hint="eastAsia"/>
        </w:rPr>
        <w:t>至</w:t>
      </w:r>
      <w:r>
        <w:rPr>
          <w:rFonts w:ascii="新細明體" w:hAnsi="新細明體" w:cs="DFKaiShu-SB-Estd-BF" w:hint="eastAsia"/>
        </w:rPr>
        <w:t>每平方米</w:t>
      </w:r>
      <w:r>
        <w:rPr>
          <w:rFonts w:hint="eastAsia"/>
        </w:rPr>
        <w:t>98,466</w:t>
      </w:r>
      <w:r>
        <w:rPr>
          <w:rFonts w:ascii="新細明體" w:hAnsi="新細明體" w:cs="DFKaiShu-SB-Estd-BF" w:hint="eastAsia"/>
        </w:rPr>
        <w:t>澳門元</w:t>
      </w:r>
      <w:bookmarkEnd w:id="163"/>
      <w:r w:rsidRPr="00CB1799">
        <w:rPr>
          <w:rFonts w:hint="eastAsia"/>
          <w:kern w:val="0"/>
          <w:szCs w:val="24"/>
        </w:rPr>
        <w:t>。</w:t>
      </w:r>
    </w:p>
    <w:p w:rsidR="00C06D45" w:rsidRPr="00CB1799" w:rsidRDefault="00C06D45" w:rsidP="00C06D45">
      <w:pPr>
        <w:numPr>
          <w:ilvl w:val="0"/>
          <w:numId w:val="4"/>
        </w:num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bookmarkStart w:id="164" w:name="_Hlk517086610"/>
      <w:r>
        <w:rPr>
          <w:rFonts w:ascii="新細明體" w:hAnsi="新細明體" w:cs="新細明體" w:hint="eastAsia"/>
        </w:rPr>
        <w:t>隨着本地居民需求增加，</w:t>
      </w:r>
      <w:r>
        <w:rPr>
          <w:rFonts w:ascii="新細明體" w:hAnsi="新細明體" w:cs="DFKaiShu-SB-Estd-BF" w:hint="eastAsia"/>
        </w:rPr>
        <w:t>澳門</w:t>
      </w:r>
      <w:r>
        <w:rPr>
          <w:rFonts w:ascii="新細明體" w:hAnsi="新細明體" w:cs="新細明體" w:hint="eastAsia"/>
        </w:rPr>
        <w:t>通</w:t>
      </w:r>
      <w:r w:rsidR="001C5BCF">
        <w:rPr>
          <w:rFonts w:ascii="新細明體" w:hAnsi="新細明體" w:cs="新細明體" w:hint="eastAsia"/>
          <w:lang w:eastAsia="zh-HK"/>
        </w:rPr>
        <w:t>脹</w:t>
      </w:r>
      <w:r>
        <w:rPr>
          <w:rFonts w:ascii="新細明體" w:hAnsi="新細明體" w:cs="新細明體" w:hint="eastAsia"/>
        </w:rPr>
        <w:t>率逐步上升。</w:t>
      </w:r>
      <w:r>
        <w:t>2018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ascii="新細明體" w:hAnsi="新細明體" w:cs="新細明體" w:hint="eastAsia"/>
        </w:rPr>
        <w:t>月份綜合消費物價指數</w:t>
      </w:r>
      <w:r>
        <w:rPr>
          <w:rFonts w:ascii="新細明體" w:hAnsi="新細明體" w:cs="DFKaiShu-SB-Estd-BF" w:hint="eastAsia"/>
        </w:rPr>
        <w:t>按</w:t>
      </w:r>
      <w:r>
        <w:rPr>
          <w:rFonts w:ascii="新細明體" w:hAnsi="新細明體" w:cs="新細明體" w:hint="eastAsia"/>
        </w:rPr>
        <w:t>年上升</w:t>
      </w:r>
      <w:r>
        <w:t>3.</w:t>
      </w:r>
      <w:r>
        <w:rPr>
          <w:rFonts w:hint="eastAsia"/>
        </w:rPr>
        <w:t>4</w:t>
      </w:r>
      <w:r>
        <w:t>%</w:t>
      </w:r>
      <w:r>
        <w:rPr>
          <w:rFonts w:ascii="新細明體" w:hAnsi="新細明體" w:cs="新細明體" w:hint="eastAsia"/>
        </w:rPr>
        <w:t>，其中兩大主要成份，食物及非酒精飲品和住屋及燃料，分別按年上升</w:t>
      </w:r>
      <w:r>
        <w:rPr>
          <w:rFonts w:hint="eastAsia"/>
        </w:rPr>
        <w:t>2.9</w:t>
      </w:r>
      <w:r>
        <w:t>%</w:t>
      </w:r>
      <w:r>
        <w:rPr>
          <w:rFonts w:hint="eastAsia"/>
        </w:rPr>
        <w:t>和</w:t>
      </w:r>
      <w:r>
        <w:rPr>
          <w:rFonts w:hint="eastAsia"/>
        </w:rPr>
        <w:t>3.0</w:t>
      </w:r>
      <w:r>
        <w:t>%</w:t>
      </w:r>
      <w:r>
        <w:rPr>
          <w:rFonts w:ascii="新細明體" w:hAnsi="新細明體" w:cs="新細明體" w:hint="eastAsia"/>
        </w:rPr>
        <w:t>。而就總體經濟而言，本地生產總值平減物價指數，跟消費物價指數同步，</w:t>
      </w:r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</w:t>
      </w:r>
      <w:r>
        <w:rPr>
          <w:rFonts w:ascii="新細明體" w:hAnsi="新細明體" w:cs="DFKaiShu-SB-Estd-BF" w:hint="eastAsia"/>
        </w:rPr>
        <w:t>第</w:t>
      </w:r>
      <w:r>
        <w:rPr>
          <w:rFonts w:hint="eastAsia"/>
        </w:rPr>
        <w:t>3</w:t>
      </w:r>
      <w:r>
        <w:rPr>
          <w:rFonts w:ascii="新細明體" w:hAnsi="新細明體" w:cs="DFKaiShu-SB-Estd-BF" w:hint="eastAsia"/>
        </w:rPr>
        <w:t>季</w:t>
      </w:r>
      <w:r>
        <w:rPr>
          <w:rFonts w:ascii="新細明體" w:hAnsi="新細明體" w:cs="新細明體" w:hint="eastAsia"/>
        </w:rPr>
        <w:t>按年上升</w:t>
      </w:r>
      <w:r>
        <w:t>3.</w:t>
      </w:r>
      <w:r>
        <w:rPr>
          <w:rFonts w:hint="eastAsia"/>
        </w:rPr>
        <w:t>8</w:t>
      </w:r>
      <w:r>
        <w:t>%</w:t>
      </w:r>
      <w:bookmarkEnd w:id="164"/>
      <w:r w:rsidRPr="00CB1799">
        <w:rPr>
          <w:rFonts w:hint="eastAsia"/>
          <w:kern w:val="0"/>
          <w:szCs w:val="24"/>
        </w:rPr>
        <w:t>。</w:t>
      </w:r>
    </w:p>
    <w:p w:rsidR="00C06D45" w:rsidRPr="00CB1799" w:rsidRDefault="00C06D45" w:rsidP="00C06D45">
      <w:pPr>
        <w:numPr>
          <w:ilvl w:val="0"/>
          <w:numId w:val="4"/>
        </w:num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bookmarkStart w:id="165" w:name="_Hlk517086637"/>
      <w:r>
        <w:rPr>
          <w:rFonts w:ascii="新細明體" w:hAnsi="新細明體" w:cs="新細明體" w:hint="eastAsia"/>
        </w:rPr>
        <w:t>就業市場持續緊張。</w:t>
      </w:r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年第</w:t>
      </w:r>
      <w:r>
        <w:rPr>
          <w:rFonts w:hint="eastAsia"/>
        </w:rPr>
        <w:t>3</w:t>
      </w:r>
      <w:r>
        <w:rPr>
          <w:rFonts w:ascii="新細明體" w:hAnsi="新細明體" w:cs="新細明體" w:hint="eastAsia"/>
        </w:rPr>
        <w:t>季整體失業率為</w:t>
      </w:r>
      <w:r>
        <w:t>1</w:t>
      </w:r>
      <w:r>
        <w:rPr>
          <w:rFonts w:hint="eastAsia"/>
        </w:rPr>
        <w:t>.</w:t>
      </w:r>
      <w:r>
        <w:t>8%</w:t>
      </w:r>
      <w:r>
        <w:rPr>
          <w:rFonts w:ascii="新細明體" w:hAnsi="新細明體" w:cs="新細明體" w:hint="eastAsia"/>
        </w:rPr>
        <w:t>，跟</w:t>
      </w:r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年第</w:t>
      </w:r>
      <w:r>
        <w:rPr>
          <w:rFonts w:hint="eastAsia"/>
        </w:rPr>
        <w:t>2</w:t>
      </w:r>
      <w:r>
        <w:rPr>
          <w:rFonts w:ascii="新細明體" w:hAnsi="新細明體" w:cs="新細明體" w:hint="eastAsia"/>
        </w:rPr>
        <w:t>季一樣。扣除非本地勞動力，</w:t>
      </w:r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</w:t>
      </w:r>
      <w:r>
        <w:rPr>
          <w:rFonts w:hint="eastAsia"/>
        </w:rPr>
        <w:t>3</w:t>
      </w:r>
      <w:r>
        <w:rPr>
          <w:rFonts w:ascii="新細明體" w:hAnsi="新細明體" w:cs="新細明體" w:hint="eastAsia"/>
        </w:rPr>
        <w:t>季本地居民失業率為</w:t>
      </w:r>
      <w:r>
        <w:t>2.4%</w:t>
      </w:r>
      <w:r>
        <w:t>，</w:t>
      </w:r>
      <w:bookmarkEnd w:id="165"/>
      <w:r>
        <w:rPr>
          <w:rFonts w:ascii="新細明體" w:hAnsi="新細明體" w:cs="新細明體" w:hint="eastAsia"/>
        </w:rPr>
        <w:t>跟</w:t>
      </w:r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年第</w:t>
      </w:r>
      <w:r>
        <w:rPr>
          <w:rFonts w:hint="eastAsia"/>
        </w:rPr>
        <w:t>2</w:t>
      </w:r>
      <w:r>
        <w:rPr>
          <w:rFonts w:ascii="新細明體" w:hAnsi="新細明體" w:cs="新細明體" w:hint="eastAsia"/>
        </w:rPr>
        <w:t>季一樣</w:t>
      </w:r>
      <w:r w:rsidRPr="00CB1799">
        <w:rPr>
          <w:rFonts w:hint="eastAsia"/>
          <w:kern w:val="0"/>
          <w:szCs w:val="24"/>
          <w:lang w:val="en-GB"/>
        </w:rPr>
        <w:t>。</w:t>
      </w:r>
    </w:p>
    <w:p w:rsidR="00C06D45" w:rsidRPr="00CB1799" w:rsidRDefault="00C06D45" w:rsidP="00C06D45">
      <w:pPr>
        <w:numPr>
          <w:ilvl w:val="0"/>
          <w:numId w:val="4"/>
        </w:num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bookmarkStart w:id="166" w:name="_Hlk517086660"/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年第</w:t>
      </w:r>
      <w:r>
        <w:rPr>
          <w:rFonts w:hint="eastAsia"/>
        </w:rPr>
        <w:t>3</w:t>
      </w:r>
      <w:r>
        <w:rPr>
          <w:rFonts w:ascii="新細明體" w:hAnsi="新細明體" w:cs="新細明體" w:hint="eastAsia"/>
        </w:rPr>
        <w:t>季，整體就業人口</w:t>
      </w:r>
      <w:r>
        <w:rPr>
          <w:rFonts w:ascii="新細明體" w:hAnsi="新細明體" w:cs="DFKaiShu-SB-Estd-BF" w:hint="eastAsia"/>
        </w:rPr>
        <w:t>按</w:t>
      </w:r>
      <w:r>
        <w:rPr>
          <w:rFonts w:ascii="新細明體" w:hAnsi="新細明體" w:cs="新細明體" w:hint="eastAsia"/>
        </w:rPr>
        <w:t>年</w:t>
      </w:r>
      <w:r>
        <w:rPr>
          <w:rFonts w:ascii="新細明體" w:hAnsi="新細明體" w:cs="DFKaiShu-SB-Estd-BF" w:hint="eastAsia"/>
        </w:rPr>
        <w:t>增加</w:t>
      </w:r>
      <w:r>
        <w:rPr>
          <w:rFonts w:hint="eastAsia"/>
        </w:rPr>
        <w:t>1.5</w:t>
      </w:r>
      <w:r>
        <w:t>%</w:t>
      </w:r>
      <w:r>
        <w:rPr>
          <w:rFonts w:ascii="新細明體" w:hAnsi="新細明體" w:cs="新細明體" w:hint="eastAsia"/>
        </w:rPr>
        <w:t>至</w:t>
      </w:r>
      <w:r>
        <w:rPr>
          <w:rFonts w:hint="eastAsia"/>
        </w:rPr>
        <w:t>3</w:t>
      </w:r>
      <w:r>
        <w:t>8</w:t>
      </w:r>
      <w:r>
        <w:rPr>
          <w:rFonts w:hint="eastAsia"/>
        </w:rPr>
        <w:t>.8</w:t>
      </w:r>
      <w:r>
        <w:rPr>
          <w:rFonts w:ascii="新細明體" w:hAnsi="新細明體" w:cs="新細明體" w:hint="eastAsia"/>
        </w:rPr>
        <w:t>萬，而本地居民就業人口則</w:t>
      </w:r>
      <w:r>
        <w:rPr>
          <w:rFonts w:ascii="新細明體" w:hAnsi="新細明體" w:cs="DFKaiShu-SB-Estd-BF" w:hint="eastAsia"/>
        </w:rPr>
        <w:t>按</w:t>
      </w:r>
      <w:r>
        <w:rPr>
          <w:rFonts w:ascii="新細明體" w:hAnsi="新細明體" w:cs="新細明體" w:hint="eastAsia"/>
        </w:rPr>
        <w:t>年</w:t>
      </w:r>
      <w:r>
        <w:rPr>
          <w:rFonts w:ascii="新細明體" w:hAnsi="新細明體" w:cs="DFKaiShu-SB-Estd-BF" w:hint="eastAsia"/>
        </w:rPr>
        <w:t>增加</w:t>
      </w:r>
      <w:r>
        <w:rPr>
          <w:rFonts w:hint="eastAsia"/>
        </w:rPr>
        <w:t>2.3</w:t>
      </w:r>
      <w:r>
        <w:t>%</w:t>
      </w:r>
      <w:r>
        <w:rPr>
          <w:rFonts w:ascii="新細明體" w:hAnsi="新細明體" w:cs="新細明體" w:hint="eastAsia"/>
        </w:rPr>
        <w:t>至</w:t>
      </w:r>
      <w:r>
        <w:rPr>
          <w:rFonts w:hint="eastAsia"/>
        </w:rPr>
        <w:t>2</w:t>
      </w:r>
      <w:r>
        <w:t>8.</w:t>
      </w:r>
      <w:r>
        <w:rPr>
          <w:rFonts w:hint="eastAsia"/>
        </w:rPr>
        <w:t>5</w:t>
      </w:r>
      <w:r>
        <w:rPr>
          <w:rFonts w:ascii="新細明體" w:hAnsi="新細明體" w:cs="新細明體" w:hint="eastAsia"/>
        </w:rPr>
        <w:t>萬</w:t>
      </w:r>
      <w:bookmarkEnd w:id="166"/>
      <w:r w:rsidRPr="00CB1799">
        <w:rPr>
          <w:rFonts w:hint="eastAsia"/>
          <w:kern w:val="0"/>
          <w:szCs w:val="24"/>
        </w:rPr>
        <w:t>。</w:t>
      </w:r>
      <w:r>
        <w:rPr>
          <w:rFonts w:ascii="新細明體" w:hAnsi="新細明體" w:cs="新細明體" w:hint="eastAsia"/>
        </w:rPr>
        <w:t>按產業分析，</w:t>
      </w:r>
      <w:bookmarkStart w:id="167" w:name="_Hlk517086679"/>
      <w:r>
        <w:rPr>
          <w:rFonts w:hint="eastAsia"/>
        </w:rPr>
        <w:t>批發及零售業</w:t>
      </w:r>
      <w:r>
        <w:rPr>
          <w:rFonts w:ascii="新細明體" w:hAnsi="新細明體" w:cs="新細明體" w:hint="eastAsia"/>
        </w:rPr>
        <w:t>的整體就業人口為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3</w:t>
      </w:r>
      <w:r>
        <w:rPr>
          <w:rFonts w:ascii="新細明體" w:hAnsi="新細明體" w:cs="新細明體" w:hint="eastAsia"/>
        </w:rPr>
        <w:t>萬，按年</w:t>
      </w:r>
      <w:r>
        <w:rPr>
          <w:rFonts w:hint="eastAsia"/>
        </w:rPr>
        <w:t>下跌</w:t>
      </w:r>
      <w:r>
        <w:rPr>
          <w:rFonts w:hint="eastAsia"/>
        </w:rPr>
        <w:t>4.6</w:t>
      </w:r>
      <w:r>
        <w:t>%</w:t>
      </w:r>
      <w:r>
        <w:rPr>
          <w:rFonts w:ascii="新細明體" w:hAnsi="新細明體" w:cs="新細明體" w:hint="eastAsia"/>
        </w:rPr>
        <w:t>，而</w:t>
      </w:r>
      <w:r>
        <w:rPr>
          <w:rFonts w:hint="eastAsia"/>
        </w:rPr>
        <w:t>酒店及飲食業</w:t>
      </w:r>
      <w:r>
        <w:rPr>
          <w:rFonts w:ascii="新細明體" w:hAnsi="新細明體" w:cs="新細明體" w:hint="eastAsia"/>
        </w:rPr>
        <w:t>的整體就業人口則按年上升</w:t>
      </w:r>
      <w:r>
        <w:rPr>
          <w:rFonts w:hint="eastAsia"/>
        </w:rPr>
        <w:t>3.1</w:t>
      </w:r>
      <w:r>
        <w:t>%</w:t>
      </w:r>
      <w:r>
        <w:rPr>
          <w:rFonts w:ascii="新細明體" w:hAnsi="新細明體" w:cs="新細明體" w:hint="eastAsia"/>
        </w:rPr>
        <w:t>至</w:t>
      </w:r>
      <w:r>
        <w:rPr>
          <w:rFonts w:hint="eastAsia"/>
        </w:rPr>
        <w:t>5</w:t>
      </w:r>
      <w:r>
        <w:t>.</w:t>
      </w:r>
      <w:r>
        <w:rPr>
          <w:rFonts w:hint="eastAsia"/>
        </w:rPr>
        <w:t>7</w:t>
      </w:r>
      <w:r>
        <w:rPr>
          <w:rFonts w:ascii="新細明體" w:hAnsi="新細明體" w:cs="新細明體" w:hint="eastAsia"/>
        </w:rPr>
        <w:t>萬。</w:t>
      </w:r>
      <w:r>
        <w:rPr>
          <w:rFonts w:hint="eastAsia"/>
        </w:rPr>
        <w:t>隨着主要賭場及酒店工程完成</w:t>
      </w:r>
      <w:r>
        <w:rPr>
          <w:rFonts w:ascii="新細明體" w:hAnsi="新細明體" w:cs="新細明體" w:hint="eastAsia"/>
        </w:rPr>
        <w:t>，建築業整體就業人口按年</w:t>
      </w:r>
      <w:r>
        <w:rPr>
          <w:rFonts w:hint="eastAsia"/>
        </w:rPr>
        <w:t>下跌</w:t>
      </w:r>
      <w:r>
        <w:rPr>
          <w:rFonts w:hint="eastAsia"/>
        </w:rPr>
        <w:t>1.2</w:t>
      </w:r>
      <w:r>
        <w:t>%</w:t>
      </w:r>
      <w:r>
        <w:rPr>
          <w:rFonts w:ascii="新細明體" w:hAnsi="新細明體" w:cs="新細明體" w:hint="eastAsia"/>
        </w:rPr>
        <w:t>至</w:t>
      </w:r>
      <w:r>
        <w:t>3.2</w:t>
      </w:r>
      <w:r>
        <w:rPr>
          <w:rFonts w:ascii="新細明體" w:hAnsi="新細明體" w:cs="新細明體" w:hint="eastAsia"/>
        </w:rPr>
        <w:t>萬。隨着博彩業</w:t>
      </w:r>
      <w:r>
        <w:rPr>
          <w:rFonts w:hint="eastAsia"/>
          <w:bCs/>
        </w:rPr>
        <w:t>復甦</w:t>
      </w:r>
      <w:r>
        <w:rPr>
          <w:rFonts w:ascii="新細明體" w:hAnsi="新細明體" w:cs="新細明體" w:hint="eastAsia"/>
        </w:rPr>
        <w:t>，博彩業整體就業人口為</w:t>
      </w:r>
      <w:r>
        <w:rPr>
          <w:rFonts w:hint="eastAsia"/>
        </w:rPr>
        <w:t>8</w:t>
      </w:r>
      <w:r>
        <w:t>.</w:t>
      </w:r>
      <w:r>
        <w:rPr>
          <w:rFonts w:hint="eastAsia"/>
        </w:rPr>
        <w:t>4</w:t>
      </w:r>
      <w:r>
        <w:rPr>
          <w:rFonts w:ascii="新細明體" w:hAnsi="新細明體" w:cs="新細明體" w:hint="eastAsia"/>
        </w:rPr>
        <w:t>萬，按年上升</w:t>
      </w:r>
      <w:r>
        <w:rPr>
          <w:rFonts w:hint="eastAsia"/>
        </w:rPr>
        <w:t>4</w:t>
      </w:r>
      <w:r>
        <w:t>.3%</w:t>
      </w:r>
      <w:bookmarkEnd w:id="167"/>
      <w:r>
        <w:rPr>
          <w:rFonts w:ascii="新細明體" w:hAnsi="新細明體" w:cs="新細明體" w:hint="eastAsia"/>
        </w:rPr>
        <w:t>。</w:t>
      </w:r>
    </w:p>
    <w:p w:rsidR="00C06D45" w:rsidRPr="002E57DB" w:rsidRDefault="00C06D45" w:rsidP="00C06D45">
      <w:pPr>
        <w:numPr>
          <w:ilvl w:val="0"/>
          <w:numId w:val="4"/>
        </w:numPr>
        <w:adjustRightInd w:val="0"/>
        <w:snapToGrid w:val="0"/>
        <w:spacing w:line="320" w:lineRule="exact"/>
        <w:jc w:val="both"/>
        <w:textAlignment w:val="baseline"/>
        <w:rPr>
          <w:b/>
          <w:kern w:val="0"/>
          <w:szCs w:val="24"/>
          <w:u w:val="single"/>
          <w:lang w:val="en-GB"/>
        </w:rPr>
      </w:pPr>
      <w:bookmarkStart w:id="168" w:name="_Hlk517086697"/>
      <w:r>
        <w:rPr>
          <w:rFonts w:ascii="新細明體" w:hAnsi="新細明體" w:cs="新細明體" w:hint="eastAsia"/>
        </w:rPr>
        <w:t>僱員每月工作收入中位數上升，</w:t>
      </w:r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年第</w:t>
      </w:r>
      <w:r>
        <w:rPr>
          <w:rFonts w:hint="eastAsia"/>
        </w:rPr>
        <w:t>3</w:t>
      </w:r>
      <w:r>
        <w:rPr>
          <w:rFonts w:ascii="新細明體" w:hAnsi="新細明體" w:cs="新細明體" w:hint="eastAsia"/>
        </w:rPr>
        <w:t>季為</w:t>
      </w:r>
      <w:r>
        <w:t>16</w:t>
      </w:r>
      <w:r>
        <w:rPr>
          <w:rFonts w:hint="eastAsia"/>
        </w:rPr>
        <w:t>,</w:t>
      </w:r>
      <w:r>
        <w:t>000</w:t>
      </w:r>
      <w:r>
        <w:rPr>
          <w:rFonts w:hint="eastAsia"/>
        </w:rPr>
        <w:t>澳門</w:t>
      </w:r>
      <w:r>
        <w:rPr>
          <w:rFonts w:ascii="新細明體" w:hAnsi="新細明體" w:cs="新細明體" w:hint="eastAsia"/>
        </w:rPr>
        <w:t>元，按年</w:t>
      </w:r>
      <w:r>
        <w:t>增加</w:t>
      </w:r>
      <w:r>
        <w:t>6.7%</w:t>
      </w:r>
      <w:r>
        <w:rPr>
          <w:rFonts w:ascii="新細明體" w:hAnsi="新細明體" w:cs="新細明體" w:hint="eastAsia"/>
        </w:rPr>
        <w:t>。其中</w:t>
      </w:r>
      <w:proofErr w:type="gramStart"/>
      <w:r>
        <w:rPr>
          <w:rFonts w:ascii="新細明體" w:hAnsi="新細明體" w:cs="新細明體" w:hint="eastAsia"/>
        </w:rPr>
        <w:t>佔</w:t>
      </w:r>
      <w:proofErr w:type="gramEnd"/>
      <w:r>
        <w:rPr>
          <w:rFonts w:ascii="新細明體" w:hAnsi="新細明體" w:cs="新細明體" w:hint="eastAsia"/>
        </w:rPr>
        <w:t>就業人口最大部份的</w:t>
      </w:r>
      <w:proofErr w:type="gramStart"/>
      <w:r>
        <w:rPr>
          <w:rFonts w:ascii="新細明體" w:hAnsi="新細明體" w:cs="新細明體" w:hint="eastAsia"/>
        </w:rPr>
        <w:t>博彩業</w:t>
      </w:r>
      <w:proofErr w:type="gramEnd"/>
      <w:r>
        <w:rPr>
          <w:rFonts w:ascii="新細明體" w:hAnsi="新細明體" w:cs="新細明體" w:hint="eastAsia"/>
        </w:rPr>
        <w:t>，僱員每月工作收入中位數為</w:t>
      </w:r>
      <w:r>
        <w:t>20</w:t>
      </w:r>
      <w:r>
        <w:rPr>
          <w:rFonts w:hint="eastAsia"/>
        </w:rPr>
        <w:t>,0</w:t>
      </w:r>
      <w:r>
        <w:t>00</w:t>
      </w:r>
      <w:r>
        <w:rPr>
          <w:rFonts w:ascii="新細明體" w:hAnsi="新細明體" w:cs="新細明體" w:hint="eastAsia"/>
        </w:rPr>
        <w:t>澳門元，按年上升</w:t>
      </w:r>
      <w:r>
        <w:t>5.3%</w:t>
      </w:r>
      <w:r>
        <w:rPr>
          <w:rFonts w:ascii="新細明體" w:hAnsi="新細明體" w:cs="新細明體" w:hint="eastAsia"/>
        </w:rPr>
        <w:t>。</w:t>
      </w:r>
      <w:r>
        <w:rPr>
          <w:rFonts w:hint="eastAsia"/>
        </w:rPr>
        <w:t>其他較多就業人口的行業</w:t>
      </w:r>
      <w:r>
        <w:rPr>
          <w:rFonts w:ascii="新細明體" w:hAnsi="新細明體" w:cs="MicrosoftJhengHeiRegular" w:hint="eastAsia"/>
        </w:rPr>
        <w:t>如</w:t>
      </w:r>
      <w:r>
        <w:rPr>
          <w:rFonts w:hint="eastAsia"/>
        </w:rPr>
        <w:t>批發及零售業，</w:t>
      </w:r>
      <w:r>
        <w:rPr>
          <w:rFonts w:ascii="新細明體" w:hAnsi="新細明體" w:cs="新細明體" w:hint="eastAsia"/>
        </w:rPr>
        <w:t>僱員每月工作收入中位數為</w:t>
      </w:r>
      <w:r>
        <w:rPr>
          <w:rFonts w:hint="eastAsia"/>
        </w:rPr>
        <w:t>12</w:t>
      </w:r>
      <w:r>
        <w:t>,</w:t>
      </w:r>
      <w:r>
        <w:rPr>
          <w:rFonts w:hint="eastAsia"/>
        </w:rPr>
        <w:t>8</w:t>
      </w:r>
      <w:r>
        <w:t>00</w:t>
      </w:r>
      <w:r>
        <w:rPr>
          <w:rFonts w:ascii="新細明體" w:hAnsi="新細明體" w:cs="新細明體" w:hint="eastAsia"/>
        </w:rPr>
        <w:t>澳門元，按年</w:t>
      </w:r>
      <w:r>
        <w:t>增加</w:t>
      </w:r>
      <w:r>
        <w:rPr>
          <w:rFonts w:hint="eastAsia"/>
        </w:rPr>
        <w:t>1.6</w:t>
      </w:r>
      <w:r>
        <w:t>%</w:t>
      </w:r>
      <w:r>
        <w:rPr>
          <w:rFonts w:ascii="新細明體" w:hAnsi="新細明體" w:cs="新細明體" w:hint="eastAsia"/>
        </w:rPr>
        <w:t>；</w:t>
      </w:r>
      <w:r>
        <w:rPr>
          <w:rFonts w:hint="eastAsia"/>
        </w:rPr>
        <w:t>而酒店及飲食業</w:t>
      </w:r>
      <w:r>
        <w:rPr>
          <w:rFonts w:ascii="新細明體" w:hAnsi="新細明體" w:cs="新細明體" w:hint="eastAsia"/>
        </w:rPr>
        <w:t>，僱員每月工作數入中位數</w:t>
      </w:r>
      <w:r>
        <w:rPr>
          <w:rFonts w:hint="eastAsia"/>
        </w:rPr>
        <w:t>為</w:t>
      </w:r>
      <w:r>
        <w:rPr>
          <w:rFonts w:hint="eastAsia"/>
        </w:rPr>
        <w:t>12,0</w:t>
      </w:r>
      <w:r>
        <w:t>00</w:t>
      </w:r>
      <w:r>
        <w:rPr>
          <w:rFonts w:ascii="新細明體" w:hAnsi="新細明體" w:cs="新細明體" w:hint="eastAsia"/>
        </w:rPr>
        <w:t>澳門元，按年</w:t>
      </w:r>
      <w:r>
        <w:t>增加</w:t>
      </w:r>
      <w:r>
        <w:rPr>
          <w:rFonts w:hint="eastAsia"/>
        </w:rPr>
        <w:t>20</w:t>
      </w:r>
      <w:r>
        <w:t>.0%</w:t>
      </w:r>
      <w:bookmarkEnd w:id="168"/>
      <w:r w:rsidRPr="00CB1799">
        <w:rPr>
          <w:rFonts w:hint="eastAsia"/>
          <w:kern w:val="0"/>
          <w:szCs w:val="24"/>
        </w:rPr>
        <w:t>。</w:t>
      </w:r>
    </w:p>
    <w:p w:rsidR="00C06D45" w:rsidRPr="00CB1799" w:rsidRDefault="00C06D45" w:rsidP="00C06D45">
      <w:pPr>
        <w:adjustRightInd w:val="0"/>
        <w:snapToGrid w:val="0"/>
        <w:spacing w:line="320" w:lineRule="exact"/>
        <w:ind w:left="567"/>
        <w:jc w:val="both"/>
        <w:textAlignment w:val="baseline"/>
        <w:rPr>
          <w:b/>
          <w:kern w:val="0"/>
          <w:szCs w:val="24"/>
          <w:u w:val="single"/>
          <w:lang w:val="en-GB"/>
        </w:rPr>
      </w:pPr>
    </w:p>
    <w:p w:rsidR="00C06D45" w:rsidRPr="00CB1799" w:rsidRDefault="00C06D45" w:rsidP="00C06D45">
      <w:p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r w:rsidRPr="00CB1799">
        <w:rPr>
          <w:rFonts w:hint="eastAsia"/>
          <w:b/>
          <w:kern w:val="0"/>
          <w:szCs w:val="24"/>
          <w:u w:val="single"/>
          <w:lang w:val="en-GB"/>
        </w:rPr>
        <w:t>201</w:t>
      </w:r>
      <w:r>
        <w:rPr>
          <w:rFonts w:hint="eastAsia"/>
          <w:b/>
          <w:kern w:val="0"/>
          <w:szCs w:val="24"/>
          <w:u w:val="single"/>
          <w:lang w:val="en-GB"/>
        </w:rPr>
        <w:t>9</w:t>
      </w:r>
      <w:r w:rsidRPr="00CB1799">
        <w:rPr>
          <w:rFonts w:hint="eastAsia"/>
          <w:b/>
          <w:kern w:val="0"/>
          <w:szCs w:val="24"/>
          <w:u w:val="single"/>
          <w:lang w:val="en-GB"/>
        </w:rPr>
        <w:t>年度經濟預測</w:t>
      </w:r>
    </w:p>
    <w:p w:rsidR="00C06D45" w:rsidRDefault="00C06D45" w:rsidP="00C06D45">
      <w:bookmarkStart w:id="169" w:name="_Hlk517086752"/>
      <w:r>
        <w:rPr>
          <w:rFonts w:ascii="新細明體" w:hAnsi="新細明體" w:cs="新細明體" w:hint="eastAsia"/>
        </w:rPr>
        <w:t>國際貨幣基金組織</w:t>
      </w:r>
      <w:r>
        <w:t>(IMF)</w:t>
      </w:r>
      <w:r>
        <w:t>在</w:t>
      </w:r>
      <w:r>
        <w:t>2018</w:t>
      </w:r>
      <w:r>
        <w:rPr>
          <w:rFonts w:ascii="新細明體" w:hAnsi="新細明體" w:cs="新細明體" w:hint="eastAsia"/>
        </w:rPr>
        <w:t>年</w:t>
      </w:r>
      <w:r>
        <w:rPr>
          <w:rFonts w:hint="eastAsia"/>
        </w:rPr>
        <w:t>10</w:t>
      </w:r>
      <w:r>
        <w:rPr>
          <w:rFonts w:ascii="新細明體" w:hAnsi="新細明體" w:cs="新細明體" w:hint="eastAsia"/>
        </w:rPr>
        <w:t>月預測，全球經濟增長在</w:t>
      </w:r>
      <w:r>
        <w:t>2018</w:t>
      </w:r>
      <w:r>
        <w:rPr>
          <w:rFonts w:ascii="新細明體" w:hAnsi="新細明體" w:cs="新細明體" w:hint="eastAsia"/>
        </w:rPr>
        <w:t>年及</w:t>
      </w:r>
      <w:r>
        <w:t>2019</w:t>
      </w:r>
      <w:r>
        <w:rPr>
          <w:rFonts w:ascii="新細明體" w:hAnsi="新細明體" w:cs="新細明體" w:hint="eastAsia"/>
        </w:rPr>
        <w:t>年增長率都為</w:t>
      </w:r>
      <w:r>
        <w:t>3.</w:t>
      </w:r>
      <w:r>
        <w:rPr>
          <w:rFonts w:hint="eastAsia"/>
        </w:rPr>
        <w:t>7</w:t>
      </w:r>
      <w:r>
        <w:t>%</w:t>
      </w:r>
      <w:r>
        <w:rPr>
          <w:rFonts w:ascii="新細明體" w:hAnsi="新細明體" w:cs="新細明體" w:hint="eastAsia"/>
        </w:rPr>
        <w:t>，兩年的預測都自</w:t>
      </w:r>
      <w:r>
        <w:rPr>
          <w:rFonts w:cs="新細明體" w:hint="eastAsia"/>
        </w:rPr>
        <w:t>2018</w:t>
      </w:r>
      <w:r>
        <w:rPr>
          <w:rFonts w:ascii="新細明體" w:hAnsi="新細明體" w:cs="新細明體" w:hint="eastAsia"/>
        </w:rPr>
        <w:t>年</w:t>
      </w:r>
      <w:r>
        <w:rPr>
          <w:rFonts w:cs="新細明體" w:hint="eastAsia"/>
        </w:rPr>
        <w:t>4</w:t>
      </w:r>
      <w:r>
        <w:rPr>
          <w:rFonts w:ascii="新細明體" w:hAnsi="新細明體" w:cs="新細明體" w:hint="eastAsia"/>
        </w:rPr>
        <w:t>月下調，下調的原因包括</w:t>
      </w:r>
      <w:r>
        <w:rPr>
          <w:rFonts w:cs="新細明體" w:hint="eastAsia"/>
          <w:color w:val="2C2825"/>
        </w:rPr>
        <w:t>2018</w:t>
      </w:r>
      <w:r>
        <w:rPr>
          <w:rFonts w:ascii="新細明體" w:hAnsi="新細明體" w:cs="新細明體" w:hint="eastAsia"/>
          <w:color w:val="2C2825"/>
        </w:rPr>
        <w:t>年初某些發達經濟國家出現意外情况，</w:t>
      </w:r>
      <w:r>
        <w:rPr>
          <w:rFonts w:ascii="新細明體" w:hAnsi="新細明體" w:cs="新細明體" w:hint="eastAsia"/>
        </w:rPr>
        <w:t>貿易摩擦和主要發展中國家經濟增長放緩</w:t>
      </w:r>
      <w:r>
        <w:rPr>
          <w:rFonts w:ascii="新細明體" w:hAnsi="新細明體" w:cs="新細明體" w:hint="eastAsia"/>
          <w:color w:val="2C2825"/>
        </w:rPr>
        <w:t>。</w:t>
      </w:r>
      <w:r>
        <w:rPr>
          <w:rFonts w:ascii="新細明體" w:hAnsi="新細明體" w:cs="新細明體" w:hint="eastAsia"/>
        </w:rPr>
        <w:t>美國經濟增長率預計在</w:t>
      </w:r>
      <w:r>
        <w:rPr>
          <w:rFonts w:cs="新細明體" w:hint="eastAsia"/>
        </w:rPr>
        <w:t>2018</w:t>
      </w:r>
      <w:r>
        <w:rPr>
          <w:rFonts w:ascii="新細明體" w:hAnsi="新細明體" w:cs="新細明體" w:hint="eastAsia"/>
        </w:rPr>
        <w:t>年及</w:t>
      </w:r>
      <w:r>
        <w:rPr>
          <w:rFonts w:cs="新細明體" w:hint="eastAsia"/>
        </w:rPr>
        <w:t>2019</w:t>
      </w:r>
      <w:r>
        <w:rPr>
          <w:rFonts w:ascii="新細明體" w:hAnsi="新細明體" w:cs="新細明體" w:hint="eastAsia"/>
        </w:rPr>
        <w:t>年分別為</w:t>
      </w:r>
      <w:r>
        <w:rPr>
          <w:rFonts w:hint="eastAsia"/>
        </w:rPr>
        <w:t>2.9</w:t>
      </w:r>
      <w:r>
        <w:t>%</w:t>
      </w:r>
      <w:r>
        <w:rPr>
          <w:rFonts w:ascii="新細明體" w:hAnsi="新細明體" w:cs="新細明體" w:hint="eastAsia"/>
        </w:rPr>
        <w:t>及</w:t>
      </w:r>
      <w:r>
        <w:t>2.</w:t>
      </w:r>
      <w:r>
        <w:rPr>
          <w:rFonts w:hint="eastAsia"/>
        </w:rPr>
        <w:t>0</w:t>
      </w:r>
      <w:r>
        <w:t>%</w:t>
      </w:r>
      <w:r>
        <w:rPr>
          <w:rFonts w:ascii="新細明體" w:hAnsi="新細明體" w:cs="新細明體" w:hint="eastAsia"/>
        </w:rPr>
        <w:t>，而歐元區經濟增長率則預計分別為</w:t>
      </w:r>
      <w:r>
        <w:t>2.0%</w:t>
      </w:r>
      <w:r>
        <w:rPr>
          <w:rFonts w:ascii="新細明體" w:hAnsi="新細明體" w:cs="新細明體" w:hint="eastAsia"/>
        </w:rPr>
        <w:t>及</w:t>
      </w:r>
      <w:r>
        <w:t>1.9%</w:t>
      </w:r>
      <w:r>
        <w:rPr>
          <w:rFonts w:ascii="新細明體" w:hAnsi="新細明體" w:cs="新細明體" w:hint="eastAsia"/>
        </w:rPr>
        <w:t>。中國大陸方面，與美國的貿易摩擦及其他結構調整所帶來的負面效果已經浮現，</w:t>
      </w:r>
      <w:r>
        <w:t>2018</w:t>
      </w:r>
      <w:r>
        <w:rPr>
          <w:rFonts w:ascii="新細明體" w:hAnsi="新細明體" w:cs="新細明體" w:hint="eastAsia"/>
        </w:rPr>
        <w:t>年第</w:t>
      </w:r>
      <w:r>
        <w:rPr>
          <w:rFonts w:hint="eastAsia"/>
        </w:rPr>
        <w:t>3</w:t>
      </w:r>
      <w:r>
        <w:rPr>
          <w:rFonts w:ascii="新細明體" w:hAnsi="新細明體" w:cs="新細明體" w:hint="eastAsia"/>
        </w:rPr>
        <w:t>季增長為</w:t>
      </w:r>
      <w:r>
        <w:rPr>
          <w:rFonts w:hint="eastAsia"/>
        </w:rPr>
        <w:t>6.5</w:t>
      </w:r>
      <w:r>
        <w:t>%</w:t>
      </w:r>
      <w:r>
        <w:rPr>
          <w:rFonts w:ascii="新細明體" w:hAnsi="新細明體" w:cs="新細明體" w:hint="eastAsia"/>
        </w:rPr>
        <w:t>。這些發</w:t>
      </w:r>
      <w:r>
        <w:rPr>
          <w:rFonts w:ascii="新細明體" w:hAnsi="新細明體" w:cs="新細明體"/>
        </w:rPr>
        <w:t>展</w:t>
      </w:r>
      <w:r>
        <w:rPr>
          <w:rFonts w:ascii="新細明體" w:hAnsi="新細明體" w:cs="新細明體" w:hint="eastAsia"/>
        </w:rPr>
        <w:t>亦令澳門另一個主要服務出口市場</w:t>
      </w:r>
      <w:proofErr w:type="gramStart"/>
      <w:r>
        <w:rPr>
          <w:rFonts w:ascii="新細明體" w:hAnsi="新細明體" w:cs="新細明體"/>
        </w:rPr>
        <w:t>–</w:t>
      </w:r>
      <w:proofErr w:type="gramEnd"/>
      <w:r>
        <w:rPr>
          <w:rFonts w:ascii="新細明體" w:hAnsi="新細明體" w:cs="新細明體" w:hint="eastAsia"/>
        </w:rPr>
        <w:t>香港增長放緩，</w:t>
      </w:r>
      <w:r>
        <w:t xml:space="preserve"> 2018</w:t>
      </w:r>
      <w:r>
        <w:rPr>
          <w:rFonts w:ascii="新細明體" w:hAnsi="新細明體" w:cs="新細明體" w:hint="eastAsia"/>
        </w:rPr>
        <w:t>年第</w:t>
      </w:r>
      <w:r>
        <w:rPr>
          <w:rFonts w:hint="eastAsia"/>
        </w:rPr>
        <w:t>3</w:t>
      </w:r>
      <w:r>
        <w:rPr>
          <w:rFonts w:ascii="新細明體" w:hAnsi="新細明體" w:cs="新細明體" w:hint="eastAsia"/>
        </w:rPr>
        <w:t>季增長降至</w:t>
      </w:r>
      <w:r>
        <w:rPr>
          <w:rFonts w:hint="eastAsia"/>
        </w:rPr>
        <w:t>2.9</w:t>
      </w:r>
      <w:r>
        <w:t>%</w:t>
      </w:r>
      <w:r>
        <w:rPr>
          <w:rFonts w:ascii="新細明體" w:hAnsi="新細明體" w:cs="新細明體" w:hint="eastAsia"/>
        </w:rPr>
        <w:t>。各種不穩定因素持續影響澳門</w:t>
      </w:r>
      <w:r>
        <w:t>2019</w:t>
      </w:r>
      <w:r>
        <w:rPr>
          <w:rFonts w:ascii="新細明體" w:hAnsi="新細明體" w:cs="新細明體" w:hint="eastAsia"/>
        </w:rPr>
        <w:t>年的經濟增長。</w:t>
      </w:r>
      <w:bookmarkEnd w:id="169"/>
    </w:p>
    <w:p w:rsidR="00C06D45" w:rsidRDefault="00C06D45" w:rsidP="00C06D45">
      <w:pPr>
        <w:autoSpaceDE w:val="0"/>
        <w:spacing w:before="280" w:after="280"/>
        <w:rPr>
          <w:rFonts w:ascii="新細明體" w:hAnsi="新細明體" w:cs="新細明體"/>
        </w:rPr>
      </w:pPr>
      <w:bookmarkStart w:id="170" w:name="_Hlk517086775"/>
      <w:r>
        <w:t>2019</w:t>
      </w:r>
      <w:r>
        <w:rPr>
          <w:rFonts w:ascii="新細明體" w:hAnsi="新細明體" w:cs="新細明體" w:hint="eastAsia"/>
        </w:rPr>
        <w:t>年澳門服務出口預計減慢至上升</w:t>
      </w:r>
      <w:r>
        <w:rPr>
          <w:rFonts w:hint="eastAsia"/>
        </w:rPr>
        <w:t>4.2</w:t>
      </w:r>
      <w:r>
        <w:t>%</w:t>
      </w:r>
      <w:r>
        <w:rPr>
          <w:rFonts w:ascii="新細明體" w:hAnsi="新細明體" w:cs="新細明體" w:hint="eastAsia"/>
        </w:rPr>
        <w:t>。至於貨物出口，預計</w:t>
      </w:r>
      <w:r>
        <w:t>2019</w:t>
      </w:r>
      <w:r>
        <w:rPr>
          <w:rFonts w:ascii="新細明體" w:hAnsi="新細明體" w:cs="新細明體" w:hint="eastAsia"/>
        </w:rPr>
        <w:t>年增長</w:t>
      </w:r>
      <w:r>
        <w:rPr>
          <w:rFonts w:hint="eastAsia"/>
        </w:rPr>
        <w:t>0.6</w:t>
      </w:r>
      <w:r>
        <w:t>%</w:t>
      </w:r>
      <w:r>
        <w:rPr>
          <w:rFonts w:ascii="新細明體" w:hAnsi="新細明體" w:cs="新細明體" w:hint="eastAsia"/>
        </w:rPr>
        <w:t>。隨</w:t>
      </w:r>
      <w:r>
        <w:rPr>
          <w:rFonts w:hint="eastAsia"/>
        </w:rPr>
        <w:t>着</w:t>
      </w:r>
      <w:r>
        <w:rPr>
          <w:rFonts w:ascii="新細明體" w:hAnsi="新細明體" w:cs="新細明體" w:hint="eastAsia"/>
        </w:rPr>
        <w:t>內部消費</w:t>
      </w:r>
      <w:r w:rsidRPr="0071284F">
        <w:rPr>
          <w:rFonts w:hint="eastAsia"/>
          <w:bCs/>
        </w:rPr>
        <w:t>穩定增長</w:t>
      </w:r>
      <w:r>
        <w:rPr>
          <w:rFonts w:ascii="新細明體" w:hAnsi="新細明體" w:cs="新細明體" w:hint="eastAsia"/>
        </w:rPr>
        <w:t>，貨物進口預計在</w:t>
      </w:r>
      <w:r>
        <w:t>2019</w:t>
      </w:r>
      <w:r>
        <w:rPr>
          <w:rFonts w:ascii="新細明體" w:hAnsi="新細明體" w:cs="新細明體" w:hint="eastAsia"/>
        </w:rPr>
        <w:t>年增長</w:t>
      </w:r>
      <w:r>
        <w:rPr>
          <w:rFonts w:hint="eastAsia"/>
        </w:rPr>
        <w:t>3.1</w:t>
      </w:r>
      <w:r>
        <w:t>%</w:t>
      </w:r>
      <w:r>
        <w:rPr>
          <w:rFonts w:ascii="新細明體" w:hAnsi="新細明體" w:cs="新細明體" w:hint="eastAsia"/>
        </w:rPr>
        <w:t>，而隨</w:t>
      </w:r>
      <w:r>
        <w:rPr>
          <w:rFonts w:hint="eastAsia"/>
        </w:rPr>
        <w:t>着</w:t>
      </w:r>
      <w:r>
        <w:rPr>
          <w:rFonts w:ascii="新細明體" w:hAnsi="新細明體" w:cs="新細明體" w:hint="eastAsia"/>
        </w:rPr>
        <w:t>服務出口擴張</w:t>
      </w:r>
      <w:r w:rsidRPr="0071284F">
        <w:rPr>
          <w:rFonts w:ascii="新細明體" w:hAnsi="新細明體" w:cs="新細明體" w:hint="eastAsia"/>
        </w:rPr>
        <w:t>放緩</w:t>
      </w:r>
      <w:r>
        <w:rPr>
          <w:rFonts w:ascii="新細明體" w:hAnsi="新細明體" w:cs="新細明體" w:hint="eastAsia"/>
        </w:rPr>
        <w:t>，服務進口預計温和增長，在</w:t>
      </w:r>
      <w:r>
        <w:t>2019</w:t>
      </w:r>
      <w:r>
        <w:rPr>
          <w:rFonts w:ascii="新細明體" w:hAnsi="新細明體" w:cs="新細明體" w:hint="eastAsia"/>
        </w:rPr>
        <w:t>年上升</w:t>
      </w:r>
      <w:r>
        <w:rPr>
          <w:rFonts w:hint="eastAsia"/>
        </w:rPr>
        <w:t>4.2</w:t>
      </w:r>
      <w:r>
        <w:t>%</w:t>
      </w:r>
      <w:r>
        <w:rPr>
          <w:rFonts w:ascii="新細明體" w:hAnsi="新細明體" w:cs="新細明體" w:hint="eastAsia"/>
        </w:rPr>
        <w:t>。</w:t>
      </w:r>
      <w:bookmarkEnd w:id="170"/>
    </w:p>
    <w:p w:rsidR="00C06D45" w:rsidRDefault="00C06D45" w:rsidP="00C06D45">
      <w:pPr>
        <w:spacing w:before="280" w:after="280"/>
        <w:rPr>
          <w:rFonts w:ascii="新細明體" w:hAnsi="新細明體" w:cs="新細明體"/>
        </w:rPr>
      </w:pPr>
      <w:bookmarkStart w:id="171" w:name="_Hlk517086787"/>
      <w:r>
        <w:rPr>
          <w:rFonts w:ascii="新細明體" w:hAnsi="新細明體" w:cs="新細明體" w:hint="eastAsia"/>
        </w:rPr>
        <w:t>內部需求方面，私人消費持續穩定，預期在</w:t>
      </w:r>
      <w:r>
        <w:t>2019</w:t>
      </w:r>
      <w:r>
        <w:rPr>
          <w:rFonts w:ascii="新細明體" w:hAnsi="新細明體" w:cs="新細明體" w:hint="eastAsia"/>
        </w:rPr>
        <w:t>年上升</w:t>
      </w:r>
      <w:r>
        <w:rPr>
          <w:rFonts w:hint="eastAsia"/>
        </w:rPr>
        <w:t>4.0</w:t>
      </w:r>
      <w:r>
        <w:t>%</w:t>
      </w:r>
      <w:r>
        <w:rPr>
          <w:rFonts w:ascii="新細明體" w:hAnsi="新細明體" w:cs="新細明體" w:hint="eastAsia"/>
        </w:rPr>
        <w:t>。最終固定資本形成總額預期在</w:t>
      </w:r>
      <w:r>
        <w:t>2019</w:t>
      </w:r>
      <w:r>
        <w:rPr>
          <w:rFonts w:ascii="新細明體" w:hAnsi="新細明體" w:cs="新細明體" w:hint="eastAsia"/>
        </w:rPr>
        <w:t>年</w:t>
      </w:r>
      <w:r>
        <w:rPr>
          <w:rFonts w:hint="eastAsia"/>
        </w:rPr>
        <w:t>下跌</w:t>
      </w:r>
      <w:r>
        <w:rPr>
          <w:rFonts w:hint="eastAsia"/>
        </w:rPr>
        <w:t>7.9</w:t>
      </w:r>
      <w:r>
        <w:t>%</w:t>
      </w:r>
      <w:r>
        <w:rPr>
          <w:rFonts w:ascii="新細明體" w:hAnsi="新細明體" w:cs="新細明體" w:hint="eastAsia"/>
        </w:rPr>
        <w:t>。</w:t>
      </w:r>
      <w:bookmarkEnd w:id="171"/>
    </w:p>
    <w:p w:rsidR="00C06D45" w:rsidRDefault="00C06D45" w:rsidP="00C06D45">
      <w:pPr>
        <w:spacing w:before="280" w:after="280"/>
        <w:rPr>
          <w:rFonts w:ascii="新細明體" w:hAnsi="新細明體" w:cs="新細明體"/>
        </w:rPr>
      </w:pPr>
      <w:bookmarkStart w:id="172" w:name="_Hlk517086802"/>
      <w:r>
        <w:rPr>
          <w:rFonts w:ascii="新細明體" w:hAnsi="新細明體" w:cs="新細明體" w:hint="eastAsia"/>
        </w:rPr>
        <w:t>澳門通脹維持</w:t>
      </w:r>
      <w:proofErr w:type="gramStart"/>
      <w:r>
        <w:rPr>
          <w:rFonts w:ascii="新細明體" w:hAnsi="新細明體" w:cs="新細明體" w:hint="eastAsia"/>
        </w:rPr>
        <w:t>平穩，</w:t>
      </w:r>
      <w:proofErr w:type="gramEnd"/>
      <w:r>
        <w:rPr>
          <w:rFonts w:ascii="新細明體" w:hAnsi="新細明體" w:cs="新細明體" w:hint="eastAsia"/>
        </w:rPr>
        <w:t>以消費物價指數計算，在</w:t>
      </w:r>
      <w:r>
        <w:t>2019</w:t>
      </w:r>
      <w:r>
        <w:rPr>
          <w:rFonts w:ascii="新細明體" w:hAnsi="新細明體" w:cs="新細明體" w:hint="eastAsia"/>
        </w:rPr>
        <w:t>年通脹率預計為</w:t>
      </w:r>
      <w:r>
        <w:t>3.</w:t>
      </w:r>
      <w:r>
        <w:rPr>
          <w:rFonts w:hint="eastAsia"/>
        </w:rPr>
        <w:t>0</w:t>
      </w:r>
      <w:r>
        <w:t>%</w:t>
      </w:r>
      <w:r>
        <w:rPr>
          <w:rFonts w:ascii="新細明體" w:hAnsi="新細明體" w:cs="新細明體" w:hint="eastAsia"/>
        </w:rPr>
        <w:t>。以總體經濟而言，本地生產總值平減物價指數升幅，預計在</w:t>
      </w:r>
      <w:r>
        <w:t>2019</w:t>
      </w:r>
      <w:r>
        <w:rPr>
          <w:rFonts w:ascii="新細明體" w:hAnsi="新細明體" w:cs="新細明體" w:hint="eastAsia"/>
        </w:rPr>
        <w:t>年為</w:t>
      </w:r>
      <w:r>
        <w:t>4.</w:t>
      </w:r>
      <w:r>
        <w:rPr>
          <w:rFonts w:hint="eastAsia"/>
        </w:rPr>
        <w:t>1</w:t>
      </w:r>
      <w:r>
        <w:t>%</w:t>
      </w:r>
      <w:r>
        <w:rPr>
          <w:rFonts w:ascii="新細明體" w:hAnsi="新細明體" w:cs="新細明體" w:hint="eastAsia"/>
        </w:rPr>
        <w:t>。</w:t>
      </w:r>
      <w:bookmarkEnd w:id="172"/>
    </w:p>
    <w:p w:rsidR="00C06D45" w:rsidRDefault="00C06D45" w:rsidP="00C06D45">
      <w:pPr>
        <w:spacing w:before="280" w:after="280"/>
        <w:rPr>
          <w:rFonts w:ascii="新細明體" w:hAnsi="新細明體" w:cs="新細明體"/>
        </w:rPr>
      </w:pPr>
      <w:bookmarkStart w:id="173" w:name="_Hlk517086823"/>
      <w:r>
        <w:rPr>
          <w:rFonts w:ascii="新細明體" w:hAnsi="新細明體" w:cs="新細明體" w:hint="eastAsia"/>
        </w:rPr>
        <w:t>澳門就業市場持續緊張，</w:t>
      </w:r>
      <w:r>
        <w:t>2019</w:t>
      </w:r>
      <w:r>
        <w:rPr>
          <w:rFonts w:ascii="新細明體" w:hAnsi="新細明體" w:cs="新細明體" w:hint="eastAsia"/>
        </w:rPr>
        <w:t>年整體失業率預計為</w:t>
      </w:r>
      <w:r>
        <w:rPr>
          <w:rFonts w:hint="eastAsia"/>
        </w:rPr>
        <w:t>2.0%</w:t>
      </w:r>
      <w:r>
        <w:rPr>
          <w:rFonts w:ascii="新細明體" w:hAnsi="新細明體" w:cs="新細明體" w:hint="eastAsia"/>
        </w:rPr>
        <w:t>，而扣除非本地勞動力，本地居民失業率在</w:t>
      </w:r>
      <w:r>
        <w:t>2019</w:t>
      </w:r>
      <w:r>
        <w:rPr>
          <w:rFonts w:ascii="新細明體" w:hAnsi="新細明體" w:cs="新細明體" w:hint="eastAsia"/>
        </w:rPr>
        <w:t>年預計為</w:t>
      </w:r>
      <w:r>
        <w:t>2.</w:t>
      </w:r>
      <w:r>
        <w:rPr>
          <w:rFonts w:hint="eastAsia"/>
        </w:rPr>
        <w:t>8</w:t>
      </w:r>
      <w:r>
        <w:t>%</w:t>
      </w:r>
      <w:r>
        <w:rPr>
          <w:rFonts w:ascii="新細明體" w:hAnsi="新細明體" w:cs="新細明體" w:hint="eastAsia"/>
        </w:rPr>
        <w:t>。工作收入方面，每月工作收入中位數在</w:t>
      </w:r>
      <w:r>
        <w:rPr>
          <w:rFonts w:hint="eastAsia"/>
        </w:rPr>
        <w:t>201</w:t>
      </w:r>
      <w:r>
        <w:t>9</w:t>
      </w:r>
      <w:r>
        <w:rPr>
          <w:rFonts w:ascii="新細明體" w:hAnsi="新細明體" w:cs="新細明體" w:hint="eastAsia"/>
        </w:rPr>
        <w:t>年預計為</w:t>
      </w:r>
      <w:r>
        <w:t>16,</w:t>
      </w:r>
      <w:r>
        <w:rPr>
          <w:rFonts w:hint="eastAsia"/>
        </w:rPr>
        <w:t>205</w:t>
      </w:r>
      <w:r>
        <w:rPr>
          <w:rFonts w:hint="eastAsia"/>
        </w:rPr>
        <w:t>澳門元</w:t>
      </w:r>
      <w:r>
        <w:rPr>
          <w:rFonts w:ascii="新細明體" w:hAnsi="新細明體" w:cs="新細明體" w:hint="eastAsia"/>
        </w:rPr>
        <w:t>。</w:t>
      </w:r>
      <w:bookmarkEnd w:id="173"/>
    </w:p>
    <w:p w:rsidR="00C06D45" w:rsidRDefault="00C06D45" w:rsidP="00C06D45">
      <w:p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</w:rPr>
      </w:pPr>
      <w:r>
        <w:rPr>
          <w:rFonts w:ascii="新細明體" w:hAnsi="新細明體" w:cs="新細明體" w:hint="eastAsia"/>
        </w:rPr>
        <w:t>整體而言，</w:t>
      </w:r>
      <w:r>
        <w:t>2019</w:t>
      </w:r>
      <w:r>
        <w:rPr>
          <w:rFonts w:ascii="新細明體" w:hAnsi="新細明體" w:cs="新細明體" w:hint="eastAsia"/>
        </w:rPr>
        <w:t>年預計增長</w:t>
      </w:r>
      <w:r>
        <w:rPr>
          <w:rFonts w:hint="eastAsia"/>
        </w:rPr>
        <w:t>2.7</w:t>
      </w:r>
      <w:r>
        <w:t>%</w:t>
      </w:r>
      <w:r>
        <w:rPr>
          <w:rFonts w:ascii="新細明體" w:hAnsi="新細明體" w:cs="新細明體" w:hint="eastAsia"/>
        </w:rPr>
        <w:t>，預測區間由較悲觀的</w:t>
      </w:r>
      <w:r>
        <w:rPr>
          <w:rFonts w:hint="eastAsia"/>
        </w:rPr>
        <w:t>下跌</w:t>
      </w:r>
      <w:r>
        <w:rPr>
          <w:rFonts w:hint="eastAsia"/>
        </w:rPr>
        <w:t>6.5</w:t>
      </w:r>
      <w:r>
        <w:t>%</w:t>
      </w:r>
      <w:r>
        <w:rPr>
          <w:rFonts w:ascii="新細明體" w:hAnsi="新細明體" w:cs="新細明體" w:hint="eastAsia"/>
        </w:rPr>
        <w:t>至較樂觀的上升</w:t>
      </w:r>
      <w:r>
        <w:rPr>
          <w:rFonts w:hint="eastAsia"/>
        </w:rPr>
        <w:t>11.9</w:t>
      </w:r>
      <w:r>
        <w:t>%</w:t>
      </w:r>
      <w:r>
        <w:rPr>
          <w:rFonts w:ascii="新細明體" w:hAnsi="新細明體" w:cs="新細明體" w:hint="eastAsia"/>
        </w:rPr>
        <w:t>。基於服務出口深受外圍經濟因素及政策影響，短期可能出現較大波動，研究團隊將會定期以最新數據更新預測</w:t>
      </w:r>
      <w:r w:rsidRPr="00CB1799">
        <w:rPr>
          <w:rFonts w:hint="eastAsia"/>
          <w:kern w:val="0"/>
          <w:szCs w:val="24"/>
        </w:rPr>
        <w:t>。</w:t>
      </w:r>
    </w:p>
    <w:p w:rsidR="00C06D45" w:rsidRPr="00CB1799" w:rsidRDefault="00C06D45" w:rsidP="00C06D45">
      <w:pPr>
        <w:adjustRightInd w:val="0"/>
        <w:snapToGrid w:val="0"/>
        <w:spacing w:line="320" w:lineRule="exact"/>
        <w:jc w:val="both"/>
        <w:textAlignment w:val="baseline"/>
        <w:rPr>
          <w:b/>
          <w:bCs/>
          <w:kern w:val="0"/>
          <w:szCs w:val="24"/>
          <w:lang w:val="en-GB"/>
        </w:rPr>
      </w:pPr>
    </w:p>
    <w:p w:rsidR="00C06D45" w:rsidRPr="00CB1799" w:rsidRDefault="00C06D45" w:rsidP="00C06D45">
      <w:p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</w:rPr>
      </w:pPr>
      <w:r w:rsidRPr="00CB1799">
        <w:rPr>
          <w:rFonts w:hint="eastAsia"/>
          <w:b/>
          <w:bCs/>
          <w:kern w:val="0"/>
          <w:szCs w:val="24"/>
          <w:lang w:val="en-GB"/>
        </w:rPr>
        <w:t>《</w:t>
      </w:r>
      <w:r w:rsidRPr="00CB1799">
        <w:rPr>
          <w:b/>
          <w:bCs/>
          <w:kern w:val="0"/>
          <w:szCs w:val="24"/>
          <w:u w:val="single"/>
          <w:lang w:val="en-GB"/>
        </w:rPr>
        <w:t>澳門宏觀</w:t>
      </w:r>
      <w:r w:rsidRPr="00CB1799">
        <w:rPr>
          <w:rFonts w:hint="eastAsia"/>
          <w:b/>
          <w:bCs/>
          <w:kern w:val="0"/>
          <w:szCs w:val="24"/>
          <w:u w:val="single"/>
          <w:lang w:val="en-GB"/>
        </w:rPr>
        <w:t>經濟</w:t>
      </w:r>
      <w:r w:rsidRPr="00CB1799">
        <w:rPr>
          <w:b/>
          <w:bCs/>
          <w:kern w:val="0"/>
          <w:szCs w:val="24"/>
          <w:u w:val="single"/>
          <w:lang w:val="en-GB"/>
        </w:rPr>
        <w:t>模型</w:t>
      </w:r>
      <w:r w:rsidRPr="00CB1799">
        <w:rPr>
          <w:rFonts w:hint="eastAsia"/>
          <w:b/>
          <w:bCs/>
          <w:kern w:val="0"/>
          <w:szCs w:val="24"/>
          <w:lang w:val="en-GB"/>
        </w:rPr>
        <w:t>》</w:t>
      </w:r>
      <w:r w:rsidRPr="00CB1799">
        <w:rPr>
          <w:b/>
          <w:bCs/>
          <w:kern w:val="0"/>
          <w:szCs w:val="24"/>
          <w:u w:val="single"/>
          <w:lang w:val="en-GB"/>
        </w:rPr>
        <w:t>簡介</w:t>
      </w:r>
    </w:p>
    <w:p w:rsidR="00C06D45" w:rsidRDefault="00C06D45" w:rsidP="00C06D45">
      <w:p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pt-PT"/>
        </w:rPr>
      </w:pPr>
      <w:r w:rsidRPr="00CB1799">
        <w:rPr>
          <w:rFonts w:hint="eastAsia"/>
          <w:kern w:val="0"/>
          <w:szCs w:val="24"/>
        </w:rPr>
        <w:t>《澳門宏觀經濟模型</w:t>
      </w:r>
      <w:r w:rsidRPr="00CB1799">
        <w:rPr>
          <w:rFonts w:hint="eastAsia"/>
          <w:kern w:val="0"/>
          <w:szCs w:val="24"/>
          <w:lang w:val="en-GB"/>
        </w:rPr>
        <w:t>》</w:t>
      </w:r>
      <w:r w:rsidRPr="00CB1799">
        <w:rPr>
          <w:rFonts w:hint="eastAsia"/>
          <w:kern w:val="0"/>
          <w:szCs w:val="24"/>
        </w:rPr>
        <w:t>是一個大型季度聯立方程計量模型，目前包含澳門經濟中七個主要部分</w:t>
      </w:r>
      <w:r>
        <w:rPr>
          <w:rFonts w:hint="eastAsia"/>
          <w:kern w:val="0"/>
          <w:szCs w:val="24"/>
        </w:rPr>
        <w:t>：</w:t>
      </w:r>
      <w:r w:rsidRPr="00CB1799">
        <w:rPr>
          <w:rFonts w:hint="eastAsia"/>
          <w:kern w:val="0"/>
          <w:szCs w:val="24"/>
        </w:rPr>
        <w:t>消費</w:t>
      </w:r>
      <w:r>
        <w:rPr>
          <w:rFonts w:hint="eastAsia"/>
          <w:kern w:val="0"/>
          <w:szCs w:val="24"/>
        </w:rPr>
        <w:t>、</w:t>
      </w:r>
      <w:r w:rsidRPr="00CB1799">
        <w:rPr>
          <w:rFonts w:hint="eastAsia"/>
          <w:kern w:val="0"/>
          <w:szCs w:val="24"/>
        </w:rPr>
        <w:t>投資對外貿易</w:t>
      </w:r>
      <w:r>
        <w:rPr>
          <w:rFonts w:hint="eastAsia"/>
          <w:kern w:val="0"/>
          <w:szCs w:val="24"/>
        </w:rPr>
        <w:t>、</w:t>
      </w:r>
      <w:r w:rsidRPr="00CB1799">
        <w:rPr>
          <w:rFonts w:hint="eastAsia"/>
          <w:kern w:val="0"/>
          <w:szCs w:val="24"/>
        </w:rPr>
        <w:t>價格</w:t>
      </w:r>
      <w:r>
        <w:rPr>
          <w:rFonts w:hint="eastAsia"/>
          <w:kern w:val="0"/>
          <w:szCs w:val="24"/>
        </w:rPr>
        <w:t>、</w:t>
      </w:r>
      <w:r w:rsidRPr="00CB1799">
        <w:rPr>
          <w:rFonts w:hint="eastAsia"/>
          <w:kern w:val="0"/>
          <w:szCs w:val="24"/>
        </w:rPr>
        <w:t>政府部門</w:t>
      </w:r>
      <w:r>
        <w:rPr>
          <w:rFonts w:hint="eastAsia"/>
          <w:kern w:val="0"/>
          <w:szCs w:val="24"/>
        </w:rPr>
        <w:t>、</w:t>
      </w:r>
      <w:r w:rsidRPr="00CB1799">
        <w:rPr>
          <w:rFonts w:hint="eastAsia"/>
          <w:kern w:val="0"/>
          <w:szCs w:val="24"/>
          <w:lang w:val="en-GB"/>
        </w:rPr>
        <w:t>就業</w:t>
      </w:r>
      <w:r w:rsidRPr="00CB1799">
        <w:rPr>
          <w:rFonts w:hint="eastAsia"/>
          <w:kern w:val="0"/>
          <w:szCs w:val="24"/>
        </w:rPr>
        <w:t>市場，以及金融系統，所用數據由</w:t>
      </w:r>
      <w:r w:rsidRPr="00CB1799">
        <w:rPr>
          <w:kern w:val="0"/>
          <w:szCs w:val="24"/>
        </w:rPr>
        <w:t>1998</w:t>
      </w:r>
      <w:r w:rsidRPr="00CB1799">
        <w:rPr>
          <w:rFonts w:hint="eastAsia"/>
          <w:kern w:val="0"/>
          <w:szCs w:val="24"/>
        </w:rPr>
        <w:t>年第</w:t>
      </w:r>
      <w:r w:rsidRPr="00CB1799">
        <w:rPr>
          <w:kern w:val="0"/>
          <w:szCs w:val="24"/>
        </w:rPr>
        <w:t>1</w:t>
      </w:r>
      <w:r w:rsidRPr="00CB1799">
        <w:rPr>
          <w:rFonts w:hint="eastAsia"/>
          <w:kern w:val="0"/>
          <w:szCs w:val="24"/>
        </w:rPr>
        <w:t>季開始，模型估算會隨</w:t>
      </w:r>
      <w:r>
        <w:rPr>
          <w:rFonts w:hint="eastAsia"/>
          <w:kern w:val="0"/>
          <w:szCs w:val="24"/>
          <w:lang w:val="en-GB"/>
        </w:rPr>
        <w:t>著</w:t>
      </w:r>
      <w:r w:rsidRPr="00CB1799">
        <w:rPr>
          <w:rFonts w:hint="eastAsia"/>
          <w:kern w:val="0"/>
          <w:szCs w:val="24"/>
        </w:rPr>
        <w:t>數據發表而定時更新，提供及時及有用的澳門經濟分析，協助決策者對未來作出合理的規劃。</w:t>
      </w:r>
    </w:p>
    <w:p w:rsidR="00C06D45" w:rsidRPr="00DF7B00" w:rsidRDefault="00C06D45" w:rsidP="00C06D45">
      <w:pPr>
        <w:textAlignment w:val="baseline"/>
        <w:rPr>
          <w:kern w:val="0"/>
          <w:szCs w:val="24"/>
          <w:lang w:val="pt-PT"/>
        </w:rPr>
      </w:pPr>
    </w:p>
    <w:p w:rsidR="00C06D45" w:rsidRDefault="00C06D45" w:rsidP="00C06D45">
      <w:pPr>
        <w:textAlignment w:val="baseline"/>
        <w:rPr>
          <w:kern w:val="0"/>
          <w:szCs w:val="24"/>
          <w:lang w:val="pt-PT"/>
        </w:rPr>
      </w:pPr>
    </w:p>
    <w:tbl>
      <w:tblPr>
        <w:tblW w:w="960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2"/>
        <w:gridCol w:w="1151"/>
        <w:gridCol w:w="1151"/>
        <w:gridCol w:w="1049"/>
        <w:gridCol w:w="992"/>
        <w:gridCol w:w="992"/>
        <w:gridCol w:w="957"/>
      </w:tblGrid>
      <w:tr w:rsidR="00C06D45" w:rsidTr="00C2185A">
        <w:trPr>
          <w:trHeight w:val="315"/>
        </w:trPr>
        <w:tc>
          <w:tcPr>
            <w:tcW w:w="960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center"/>
            </w:pPr>
            <w:r>
              <w:rPr>
                <w:rFonts w:ascii="新細明體" w:hAnsi="新細明體" w:cs="Arial" w:hint="eastAsia"/>
                <w:b/>
                <w:bCs/>
              </w:rPr>
              <w:lastRenderedPageBreak/>
              <w:t xml:space="preserve">表 </w:t>
            </w:r>
            <w:r>
              <w:rPr>
                <w:rFonts w:ascii="新細明體" w:hAnsi="新細明體" w:cs="新細明體" w:hint="eastAsia"/>
                <w:b/>
                <w:bCs/>
              </w:rPr>
              <w:t xml:space="preserve">: </w:t>
            </w:r>
            <w:r>
              <w:rPr>
                <w:rFonts w:ascii="新細明體" w:hAnsi="新細明體" w:cs="Arial" w:hint="eastAsia"/>
                <w:b/>
                <w:bCs/>
              </w:rPr>
              <w:t>主要經濟指標預測</w:t>
            </w:r>
          </w:p>
        </w:tc>
      </w:tr>
      <w:tr w:rsidR="00C06D45" w:rsidTr="00C2185A">
        <w:trPr>
          <w:trHeight w:val="329"/>
        </w:trPr>
        <w:tc>
          <w:tcPr>
            <w:tcW w:w="331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/>
        </w:tc>
        <w:tc>
          <w:tcPr>
            <w:tcW w:w="115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center"/>
            </w:pPr>
            <w:r>
              <w:t>201</w:t>
            </w:r>
            <w:r>
              <w:rPr>
                <w:rFonts w:hint="eastAsia"/>
              </w:rPr>
              <w:t>4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center"/>
            </w:pPr>
            <w:r>
              <w:rPr>
                <w:rFonts w:hint="eastAsia"/>
              </w:rPr>
              <w:t>2015</w:t>
            </w:r>
          </w:p>
        </w:tc>
        <w:tc>
          <w:tcPr>
            <w:tcW w:w="10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center"/>
            </w:pPr>
            <w:r>
              <w:rPr>
                <w:rFonts w:hint="eastAsia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center"/>
            </w:pPr>
            <w:r>
              <w:rPr>
                <w:rFonts w:hint="eastAsia"/>
              </w:rPr>
              <w:t>201</w:t>
            </w:r>
            <w:r>
              <w:t>8</w:t>
            </w:r>
          </w:p>
        </w:tc>
        <w:tc>
          <w:tcPr>
            <w:tcW w:w="95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center"/>
            </w:pPr>
            <w:r>
              <w:rPr>
                <w:rFonts w:hint="eastAsia"/>
              </w:rPr>
              <w:t>201</w:t>
            </w:r>
            <w:r>
              <w:t>9</w:t>
            </w:r>
          </w:p>
        </w:tc>
      </w:tr>
      <w:tr w:rsidR="00C06D45" w:rsidTr="00C2185A">
        <w:trPr>
          <w:trHeight w:val="301"/>
        </w:trPr>
        <w:tc>
          <w:tcPr>
            <w:tcW w:w="331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hint="eastAsia"/>
                <w:b/>
                <w:bCs/>
              </w:rPr>
              <w:t>數值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center"/>
            </w:pPr>
            <w:r>
              <w:t>(</w:t>
            </w:r>
            <w:r>
              <w:rPr>
                <w:rFonts w:hint="eastAsia"/>
              </w:rPr>
              <w:t>實際值</w:t>
            </w:r>
            <w:r>
              <w:t>)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center"/>
            </w:pPr>
            <w:r>
              <w:t>(</w:t>
            </w:r>
            <w:r>
              <w:rPr>
                <w:rFonts w:hint="eastAsia"/>
              </w:rPr>
              <w:t>實際值</w:t>
            </w:r>
            <w:r>
              <w:t>)</w:t>
            </w:r>
          </w:p>
        </w:tc>
        <w:tc>
          <w:tcPr>
            <w:tcW w:w="10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center"/>
            </w:pPr>
            <w:r>
              <w:t>(</w:t>
            </w:r>
            <w:r>
              <w:rPr>
                <w:rFonts w:hint="eastAsia"/>
              </w:rPr>
              <w:t>實際值</w:t>
            </w:r>
            <w:r>
              <w:t>)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center"/>
            </w:pPr>
            <w:r>
              <w:t>(</w:t>
            </w:r>
            <w:r>
              <w:rPr>
                <w:rFonts w:hint="eastAsia"/>
              </w:rPr>
              <w:t>實際值</w:t>
            </w:r>
            <w:r>
              <w:t>)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center"/>
            </w:pPr>
            <w:r>
              <w:t>(</w:t>
            </w:r>
            <w:r>
              <w:rPr>
                <w:rFonts w:hint="eastAsia"/>
              </w:rPr>
              <w:t>預測值</w:t>
            </w:r>
            <w:r>
              <w:t>)</w:t>
            </w:r>
          </w:p>
        </w:tc>
        <w:tc>
          <w:tcPr>
            <w:tcW w:w="95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center"/>
            </w:pPr>
            <w:r>
              <w:t>(</w:t>
            </w:r>
            <w:r>
              <w:rPr>
                <w:rFonts w:hint="eastAsia"/>
              </w:rPr>
              <w:t>預測值</w:t>
            </w:r>
            <w:r>
              <w:t>)</w:t>
            </w:r>
          </w:p>
        </w:tc>
      </w:tr>
      <w:tr w:rsidR="00C06D45" w:rsidTr="00C2185A">
        <w:trPr>
          <w:trHeight w:val="301"/>
        </w:trPr>
        <w:tc>
          <w:tcPr>
            <w:tcW w:w="33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bookmarkStart w:id="174" w:name="OLE_LINK8"/>
            <w:bookmarkStart w:id="175" w:name="OLE_LINK9"/>
            <w:bookmarkStart w:id="176" w:name="OLE_LINK1"/>
            <w:bookmarkEnd w:id="174"/>
            <w:bookmarkEnd w:id="175"/>
            <w:bookmarkEnd w:id="176"/>
            <w:r>
              <w:rPr>
                <w:rFonts w:hint="eastAsia"/>
              </w:rPr>
              <w:t>本地生產總值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億</w:t>
            </w:r>
            <w:r>
              <w:rPr>
                <w:rFonts w:hint="eastAsia"/>
              </w:rPr>
              <w:t>(201</w:t>
            </w:r>
            <w:r>
              <w:t>6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澳門元</w:t>
            </w:r>
            <w:r>
              <w:rPr>
                <w:rFonts w:hint="eastAsia"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4,662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3,655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3,624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3,975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4,149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4,262</w:t>
            </w:r>
          </w:p>
        </w:tc>
      </w:tr>
      <w:tr w:rsidR="00C06D45" w:rsidTr="00C2185A">
        <w:trPr>
          <w:trHeight w:val="315"/>
        </w:trPr>
        <w:tc>
          <w:tcPr>
            <w:tcW w:w="331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新細明體" w:hint="eastAsia"/>
              </w:rPr>
              <w:t>私人消費支出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億</w:t>
            </w:r>
            <w:r>
              <w:rPr>
                <w:rFonts w:hint="eastAsia"/>
              </w:rPr>
              <w:t>(201</w:t>
            </w:r>
            <w:r>
              <w:t>6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澳門元</w:t>
            </w:r>
            <w:r>
              <w:rPr>
                <w:rFonts w:hint="eastAsia"/>
              </w:rPr>
              <w:t>)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946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966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958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979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1,022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1,063</w:t>
            </w:r>
          </w:p>
        </w:tc>
      </w:tr>
      <w:tr w:rsidR="00C06D45" w:rsidTr="00C2185A">
        <w:trPr>
          <w:trHeight w:val="301"/>
        </w:trPr>
        <w:tc>
          <w:tcPr>
            <w:tcW w:w="331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固定資本形成總額</w:t>
            </w:r>
          </w:p>
          <w:p w:rsidR="00C06D45" w:rsidRDefault="00C06D45" w:rsidP="00C2185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億</w:t>
            </w:r>
            <w:r>
              <w:rPr>
                <w:rFonts w:hint="eastAsia"/>
              </w:rPr>
              <w:t>(201</w:t>
            </w:r>
            <w:r>
              <w:t>6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澳門元</w:t>
            </w:r>
            <w:r>
              <w:rPr>
                <w:rFonts w:hint="eastAsia"/>
              </w:rPr>
              <w:t>)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846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891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785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748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637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589</w:t>
            </w:r>
          </w:p>
        </w:tc>
      </w:tr>
      <w:tr w:rsidR="00C06D45" w:rsidTr="00C2185A">
        <w:trPr>
          <w:trHeight w:val="301"/>
        </w:trPr>
        <w:tc>
          <w:tcPr>
            <w:tcW w:w="331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新細明體" w:hint="eastAsia"/>
              </w:rPr>
              <w:t>貨物出口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億</w:t>
            </w:r>
            <w:r>
              <w:rPr>
                <w:rFonts w:hint="eastAsia"/>
              </w:rPr>
              <w:t>(201</w:t>
            </w:r>
            <w:r>
              <w:t>6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澳門元</w:t>
            </w:r>
            <w:r>
              <w:rPr>
                <w:rFonts w:hint="eastAsia"/>
              </w:rPr>
              <w:t>)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141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155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124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140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145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146</w:t>
            </w:r>
          </w:p>
        </w:tc>
      </w:tr>
      <w:tr w:rsidR="00C06D45" w:rsidTr="00C2185A">
        <w:trPr>
          <w:trHeight w:val="301"/>
        </w:trPr>
        <w:tc>
          <w:tcPr>
            <w:tcW w:w="331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新細明體" w:hint="eastAsia"/>
              </w:rPr>
              <w:t>服務出口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億</w:t>
            </w:r>
            <w:r>
              <w:rPr>
                <w:rFonts w:hint="eastAsia"/>
              </w:rPr>
              <w:t>(201</w:t>
            </w:r>
            <w:r>
              <w:t>6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澳門元</w:t>
            </w:r>
            <w:r>
              <w:rPr>
                <w:rFonts w:hint="eastAsia"/>
              </w:rPr>
              <w:t>)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3,695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2,659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2,637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3,087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3,371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3,513</w:t>
            </w:r>
          </w:p>
        </w:tc>
      </w:tr>
      <w:tr w:rsidR="00C06D45" w:rsidTr="00C2185A">
        <w:trPr>
          <w:trHeight w:val="301"/>
        </w:trPr>
        <w:tc>
          <w:tcPr>
            <w:tcW w:w="331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新細明體" w:hint="eastAsia"/>
              </w:rPr>
              <w:t>貨物進口(億(</w:t>
            </w:r>
            <w:r>
              <w:rPr>
                <w:rFonts w:hint="eastAsia"/>
              </w:rPr>
              <w:t>201</w:t>
            </w:r>
            <w:r>
              <w:t>6</w:t>
            </w:r>
            <w:r>
              <w:rPr>
                <w:rFonts w:ascii="新細明體" w:hAnsi="新細明體" w:cs="新細明體" w:hint="eastAsia"/>
              </w:rPr>
              <w:t>)澳門元)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1,057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1,067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933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985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1,013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1,044</w:t>
            </w:r>
          </w:p>
        </w:tc>
      </w:tr>
      <w:tr w:rsidR="00C06D45" w:rsidTr="00C2185A">
        <w:trPr>
          <w:trHeight w:val="301"/>
        </w:trPr>
        <w:tc>
          <w:tcPr>
            <w:tcW w:w="331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新細明體" w:hint="eastAsia"/>
              </w:rPr>
              <w:t>服務進口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億</w:t>
            </w:r>
            <w:r>
              <w:rPr>
                <w:rFonts w:hint="eastAsia"/>
              </w:rPr>
              <w:t>(201</w:t>
            </w:r>
            <w:r>
              <w:t>6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澳門元</w:t>
            </w:r>
            <w:r>
              <w:rPr>
                <w:rFonts w:hint="eastAsia"/>
              </w:rPr>
              <w:t>)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323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328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323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359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395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411</w:t>
            </w:r>
          </w:p>
        </w:tc>
      </w:tr>
      <w:tr w:rsidR="00C06D45" w:rsidTr="00C2185A">
        <w:trPr>
          <w:trHeight w:val="301"/>
        </w:trPr>
        <w:tc>
          <w:tcPr>
            <w:tcW w:w="331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hint="eastAsia"/>
              </w:rPr>
              <w:t>本地生產總值之平減物價指數</w:t>
            </w:r>
            <w:r>
              <w:t>(20</w:t>
            </w:r>
            <w:r>
              <w:rPr>
                <w:rFonts w:hint="eastAsia"/>
              </w:rPr>
              <w:t>1</w:t>
            </w:r>
            <w:r>
              <w:t>6 = 100)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94.9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99.1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99.9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102.0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105.7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110.0</w:t>
            </w:r>
          </w:p>
        </w:tc>
      </w:tr>
      <w:tr w:rsidR="00C06D45" w:rsidTr="00C2185A">
        <w:trPr>
          <w:trHeight w:val="315"/>
        </w:trPr>
        <w:tc>
          <w:tcPr>
            <w:tcW w:w="331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hint="eastAsia"/>
              </w:rPr>
              <w:t>消費者物價指數</w:t>
            </w:r>
            <w:r>
              <w:t>(</w:t>
            </w:r>
            <w:r>
              <w:rPr>
                <w:rFonts w:hint="eastAsia"/>
              </w:rPr>
              <w:t>綜合</w:t>
            </w:r>
            <w:r>
              <w:t>)(20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t>–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20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t xml:space="preserve"> = 100)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101.1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105.7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108.2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109.6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112.9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116.3</w:t>
            </w:r>
          </w:p>
        </w:tc>
      </w:tr>
      <w:tr w:rsidR="00C06D45" w:rsidTr="00C2185A">
        <w:trPr>
          <w:trHeight w:val="315"/>
        </w:trPr>
        <w:tc>
          <w:tcPr>
            <w:tcW w:w="331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bookmarkStart w:id="177" w:name="OLE_LINK7"/>
            <w:bookmarkStart w:id="178" w:name="OLE_LINK10"/>
            <w:bookmarkEnd w:id="177"/>
            <w:bookmarkEnd w:id="178"/>
            <w:r>
              <w:rPr>
                <w:rFonts w:hint="eastAsia"/>
              </w:rPr>
              <w:t>每月工作收入中位數</w:t>
            </w:r>
            <w:r>
              <w:t>(</w:t>
            </w:r>
            <w:r>
              <w:rPr>
                <w:rFonts w:hint="eastAsia"/>
              </w:rPr>
              <w:t>澳門元</w:t>
            </w:r>
            <w:r>
              <w:t>)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13,300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15,000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15,000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15,000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16,032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16,205</w:t>
            </w:r>
          </w:p>
        </w:tc>
      </w:tr>
      <w:tr w:rsidR="00C06D45" w:rsidTr="00C2185A">
        <w:trPr>
          <w:trHeight w:val="315"/>
        </w:trPr>
        <w:tc>
          <w:tcPr>
            <w:tcW w:w="3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hint="eastAsia"/>
              </w:rPr>
              <w:t>就業人口</w:t>
            </w:r>
            <w:r>
              <w:t>(</w:t>
            </w:r>
            <w:r>
              <w:rPr>
                <w:rFonts w:ascii="新細明體" w:hAnsi="新細明體" w:cs="新細明體" w:hint="eastAsia"/>
              </w:rPr>
              <w:t>萬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38.8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39.7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39.0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38.0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38.5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39.0</w:t>
            </w:r>
          </w:p>
        </w:tc>
      </w:tr>
    </w:tbl>
    <w:p w:rsidR="00C06D45" w:rsidRDefault="00C06D45" w:rsidP="00C06D45"/>
    <w:p w:rsidR="00C06D45" w:rsidRDefault="00C06D45" w:rsidP="00C06D45"/>
    <w:tbl>
      <w:tblPr>
        <w:tblW w:w="9294" w:type="dxa"/>
        <w:tblInd w:w="-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5"/>
        <w:gridCol w:w="652"/>
        <w:gridCol w:w="1241"/>
        <w:gridCol w:w="1134"/>
        <w:gridCol w:w="992"/>
        <w:gridCol w:w="992"/>
        <w:gridCol w:w="959"/>
        <w:gridCol w:w="1309"/>
      </w:tblGrid>
      <w:tr w:rsidR="00C06D45" w:rsidTr="00C2185A">
        <w:trPr>
          <w:trHeight w:val="316"/>
        </w:trPr>
        <w:tc>
          <w:tcPr>
            <w:tcW w:w="929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center"/>
            </w:pPr>
            <w:r>
              <w:rPr>
                <w:rFonts w:ascii="新細明體" w:hAnsi="新細明體" w:cs="Arial" w:hint="eastAsia"/>
                <w:b/>
                <w:bCs/>
              </w:rPr>
              <w:t xml:space="preserve">表 </w:t>
            </w:r>
            <w:r>
              <w:rPr>
                <w:rFonts w:ascii="新細明體" w:hAnsi="新細明體" w:cs="新細明體" w:hint="eastAsia"/>
                <w:b/>
                <w:bCs/>
              </w:rPr>
              <w:t>(</w:t>
            </w:r>
            <w:r>
              <w:rPr>
                <w:rFonts w:ascii="新細明體" w:hAnsi="新細明體" w:cs="Arial" w:hint="eastAsia"/>
                <w:b/>
                <w:bCs/>
              </w:rPr>
              <w:t>續</w:t>
            </w:r>
            <w:r>
              <w:rPr>
                <w:rFonts w:ascii="新細明體" w:hAnsi="新細明體" w:cs="新細明體" w:hint="eastAsia"/>
                <w:b/>
                <w:bCs/>
              </w:rPr>
              <w:t xml:space="preserve">) : </w:t>
            </w:r>
            <w:r>
              <w:rPr>
                <w:rFonts w:ascii="新細明體" w:hAnsi="新細明體" w:cs="Arial" w:hint="eastAsia"/>
                <w:b/>
                <w:bCs/>
              </w:rPr>
              <w:t>主要經濟指標預測</w:t>
            </w:r>
          </w:p>
        </w:tc>
      </w:tr>
      <w:tr w:rsidR="00C06D45" w:rsidTr="00C2185A">
        <w:trPr>
          <w:trHeight w:val="302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  <w:b/>
                <w:bCs/>
              </w:rPr>
              <w:t>與去年同期比較變動率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center"/>
            </w:pPr>
            <w:r>
              <w:t>201</w:t>
            </w: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center"/>
            </w:pPr>
            <w:r>
              <w:rPr>
                <w:rFonts w:hint="eastAsia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center"/>
            </w:pPr>
            <w:r>
              <w:rPr>
                <w:rFonts w:hint="eastAsia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center"/>
            </w:pPr>
            <w:r>
              <w:rPr>
                <w:rFonts w:hint="eastAsia"/>
              </w:rPr>
              <w:t>201</w:t>
            </w:r>
            <w:r>
              <w:t>8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center"/>
            </w:pPr>
            <w:r>
              <w:rPr>
                <w:rFonts w:hint="eastAsia"/>
              </w:rPr>
              <w:t>201</w:t>
            </w:r>
            <w:r>
              <w:t>9</w:t>
            </w:r>
          </w:p>
        </w:tc>
      </w:tr>
      <w:tr w:rsidR="00C06D45" w:rsidTr="00C2185A">
        <w:trPr>
          <w:trHeight w:val="302"/>
        </w:trPr>
        <w:tc>
          <w:tcPr>
            <w:tcW w:w="26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  <w:b/>
                <w:bCs/>
              </w:rPr>
              <w:t>(%)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center"/>
              <w:rPr>
                <w:rFonts w:ascii="新細明體" w:hAnsi="新細明體" w:cs="新細明體"/>
              </w:rPr>
            </w:pPr>
            <w:r>
              <w:t>(</w:t>
            </w:r>
            <w:r>
              <w:rPr>
                <w:rFonts w:hint="eastAsia"/>
              </w:rPr>
              <w:t>實際值</w:t>
            </w:r>
            <w: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center"/>
              <w:rPr>
                <w:rFonts w:ascii="新細明體" w:hAnsi="新細明體" w:cs="新細明體"/>
              </w:rPr>
            </w:pPr>
            <w:r>
              <w:t>(</w:t>
            </w:r>
            <w:r>
              <w:rPr>
                <w:rFonts w:hint="eastAsia"/>
              </w:rPr>
              <w:t>實際值</w:t>
            </w:r>
            <w: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center"/>
              <w:rPr>
                <w:rFonts w:ascii="新細明體" w:hAnsi="新細明體" w:cs="新細明體"/>
              </w:rPr>
            </w:pPr>
            <w:r>
              <w:t>(</w:t>
            </w:r>
            <w:r>
              <w:rPr>
                <w:rFonts w:hint="eastAsia"/>
              </w:rPr>
              <w:t>實際值</w:t>
            </w:r>
            <w:r>
              <w:t>)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center"/>
            </w:pPr>
            <w:r>
              <w:t>(</w:t>
            </w:r>
            <w:r>
              <w:rPr>
                <w:rFonts w:hint="eastAsia"/>
              </w:rPr>
              <w:t>實際值</w:t>
            </w:r>
            <w:r>
              <w:t>)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center"/>
              <w:rPr>
                <w:rFonts w:ascii="新細明體" w:hAnsi="新細明體" w:cs="新細明體"/>
              </w:rPr>
            </w:pPr>
            <w:r>
              <w:t>(</w:t>
            </w:r>
            <w:r>
              <w:rPr>
                <w:rFonts w:hint="eastAsia"/>
              </w:rPr>
              <w:t>預測值</w:t>
            </w:r>
            <w:r>
              <w:t>)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center"/>
            </w:pPr>
            <w:r>
              <w:t>(</w:t>
            </w:r>
            <w:r>
              <w:rPr>
                <w:rFonts w:hint="eastAsia"/>
              </w:rPr>
              <w:t>預測值</w:t>
            </w:r>
            <w:r>
              <w:t>)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最低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2.9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-6.5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本地生產總值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基線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-1.2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-21.6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-0.9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9.7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4.4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2.7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最高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5.8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11.9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最低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3.6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0.2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私人消費支出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基線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5.9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2.1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-0.8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2.2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4.5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4.0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最高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5.3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7.8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最低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-17.5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-27.1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固定資本形成總額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基線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37.1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5.4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-11.9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-4.7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-14.9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-7.5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最高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-12.3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12.2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最低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0.6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-13.9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貨物出口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基線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20.6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10.2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-20.3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13.1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3.6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0.6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最高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6.7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15.1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最低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7.3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-7.0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服務出口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基線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-5.3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-28.1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-0.8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17.0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9.2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4.2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最高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11.1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15.4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最低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1.4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-6.3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貨物進口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基線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14.3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-12.6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5.6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2.8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3.1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最高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4.2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12.4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最低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8.0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-4.2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服務進口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基線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6.7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1.6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-1.6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11.2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9.9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4.2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最高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11.7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12.7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本地生產總值之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最低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3.2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1.5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平減物價指數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基線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8.8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4.4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0.8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2.1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3.6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4.1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增長率</w:t>
            </w: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最高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4.0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6.8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最低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2.9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1.5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消費者物價指數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基線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4.5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2.4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1.2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3.1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3.0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新細明體" w:hint="eastAsia"/>
              </w:rPr>
              <w:t>(</w:t>
            </w:r>
            <w:r>
              <w:rPr>
                <w:rFonts w:ascii="新細明體" w:hAnsi="新細明體" w:cs="Arial" w:hint="eastAsia"/>
              </w:rPr>
              <w:t>綜合</w:t>
            </w:r>
            <w:r>
              <w:rPr>
                <w:rFonts w:ascii="新細明體" w:hAnsi="新細明體" w:cs="新細明體" w:hint="eastAsia"/>
              </w:rPr>
              <w:t xml:space="preserve">) </w:t>
            </w:r>
            <w:r>
              <w:rPr>
                <w:rFonts w:ascii="新細明體" w:hAnsi="新細明體" w:cs="Arial" w:hint="eastAsia"/>
              </w:rPr>
              <w:t>通脹率</w:t>
            </w: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最高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3.3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4.5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最低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5.8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-4.0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每月工作收入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基線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10.8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12.8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0.0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6.9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1.1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中位數</w:t>
            </w: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最高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7.9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6.1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最低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1.8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1.5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 xml:space="preserve">失業率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基線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1.8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1.9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2.0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1.9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2.1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最高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1.9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2.7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最低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2.4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1.9</w:t>
            </w:r>
          </w:p>
        </w:tc>
      </w:tr>
      <w:tr w:rsidR="00C06D45" w:rsidTr="00C2185A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本地居民失業率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基線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2.5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2.7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2.7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2.5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2.8</w:t>
            </w:r>
          </w:p>
        </w:tc>
      </w:tr>
      <w:tr w:rsidR="00C06D45" w:rsidTr="00C2185A">
        <w:trPr>
          <w:trHeight w:val="316"/>
        </w:trPr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snapToGrid w:val="0"/>
              <w:rPr>
                <w:sz w:val="20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r>
              <w:rPr>
                <w:rFonts w:ascii="新細明體" w:hAnsi="新細明體" w:cs="Arial" w:hint="eastAsia"/>
              </w:rPr>
              <w:t>最高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2.6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6D45" w:rsidRDefault="00C06D45" w:rsidP="00C2185A">
            <w:pPr>
              <w:jc w:val="right"/>
            </w:pPr>
            <w:r>
              <w:t>3.6</w:t>
            </w:r>
          </w:p>
        </w:tc>
      </w:tr>
    </w:tbl>
    <w:p w:rsidR="00C77154" w:rsidRPr="00C422D2" w:rsidRDefault="00C77154" w:rsidP="00C77154">
      <w:pPr>
        <w:jc w:val="both"/>
        <w:textAlignment w:val="baseline"/>
        <w:rPr>
          <w:kern w:val="0"/>
          <w:szCs w:val="24"/>
          <w:lang w:val="pt-PT"/>
        </w:rPr>
      </w:pPr>
    </w:p>
    <w:p w:rsidR="00C77154" w:rsidRPr="00C422D2" w:rsidRDefault="00C77154" w:rsidP="00C77154">
      <w:pPr>
        <w:textAlignment w:val="baseline"/>
        <w:rPr>
          <w:kern w:val="0"/>
          <w:szCs w:val="24"/>
          <w:lang w:val="pt-PT"/>
        </w:rPr>
      </w:pPr>
    </w:p>
    <w:p w:rsidR="00C77154" w:rsidRPr="00C422D2" w:rsidRDefault="00C77154" w:rsidP="00C77154">
      <w:pPr>
        <w:pStyle w:val="ListParagraph"/>
        <w:ind w:left="0"/>
        <w:rPr>
          <w:b/>
          <w:kern w:val="0"/>
        </w:rPr>
      </w:pPr>
      <w:r w:rsidRPr="00C422D2">
        <w:rPr>
          <w:b/>
          <w:kern w:val="0"/>
        </w:rPr>
        <w:t>圖片說明：</w:t>
      </w:r>
    </w:p>
    <w:p w:rsidR="00140892" w:rsidRPr="002E71C0" w:rsidRDefault="00140892" w:rsidP="002E71C0">
      <w:pPr>
        <w:pStyle w:val="ListParagraph"/>
        <w:numPr>
          <w:ilvl w:val="0"/>
          <w:numId w:val="7"/>
        </w:numPr>
        <w:rPr>
          <w:kern w:val="0"/>
        </w:rPr>
      </w:pPr>
      <w:bookmarkStart w:id="179" w:name="_GoBack"/>
      <w:r w:rsidRPr="002E71C0">
        <w:rPr>
          <w:rFonts w:hint="eastAsia"/>
          <w:kern w:val="0"/>
        </w:rPr>
        <w:t>澳大公佈</w:t>
      </w:r>
      <w:r w:rsidRPr="002E71C0">
        <w:rPr>
          <w:rFonts w:hint="eastAsia"/>
          <w:kern w:val="0"/>
        </w:rPr>
        <w:t>2019</w:t>
      </w:r>
      <w:r w:rsidRPr="002E71C0">
        <w:rPr>
          <w:rFonts w:hint="eastAsia"/>
          <w:kern w:val="0"/>
        </w:rPr>
        <w:t>年宏觀經濟預測</w:t>
      </w:r>
    </w:p>
    <w:bookmarkEnd w:id="179"/>
    <w:p w:rsidR="00C77154" w:rsidRPr="00C422D2" w:rsidRDefault="00C77154" w:rsidP="00C77154">
      <w:pPr>
        <w:rPr>
          <w:i/>
          <w:sz w:val="18"/>
          <w:szCs w:val="18"/>
        </w:rPr>
      </w:pPr>
      <w:r w:rsidRPr="00C422D2">
        <w:rPr>
          <w:u w:val="single"/>
        </w:rPr>
        <w:t xml:space="preserve">                                                                      </w:t>
      </w:r>
    </w:p>
    <w:p w:rsidR="00C77154" w:rsidRPr="00C422D2" w:rsidRDefault="007850DB" w:rsidP="00C77154">
      <w:pPr>
        <w:widowControl/>
        <w:autoSpaceDE w:val="0"/>
        <w:autoSpaceDN w:val="0"/>
        <w:adjustRightInd w:val="0"/>
        <w:spacing w:line="240" w:lineRule="exact"/>
        <w:contextualSpacing/>
        <w:rPr>
          <w:rFonts w:eastAsia="細明體"/>
          <w:b/>
          <w:bCs/>
          <w:iCs/>
          <w:color w:val="000000"/>
          <w:kern w:val="0"/>
          <w:sz w:val="20"/>
        </w:rPr>
      </w:pPr>
      <w:r w:rsidRPr="00C422D2">
        <w:rPr>
          <w:rFonts w:eastAsia="細明體"/>
          <w:noProof/>
          <w:kern w:val="0"/>
          <w:szCs w:val="24"/>
          <w:lang w:eastAsia="zh-CN"/>
        </w:rPr>
        <w:drawing>
          <wp:anchor distT="0" distB="0" distL="114300" distR="114300" simplePos="0" relativeHeight="251657728" behindDoc="0" locked="0" layoutInCell="1" allowOverlap="1" wp14:anchorId="53BC06EE" wp14:editId="6F62B8BE">
            <wp:simplePos x="0" y="0"/>
            <wp:positionH relativeFrom="column">
              <wp:posOffset>5105372</wp:posOffset>
            </wp:positionH>
            <wp:positionV relativeFrom="paragraph">
              <wp:posOffset>11513</wp:posOffset>
            </wp:positionV>
            <wp:extent cx="588230" cy="605398"/>
            <wp:effectExtent l="0" t="0" r="254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30" cy="60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7154" w:rsidRPr="00C422D2">
        <w:rPr>
          <w:rFonts w:eastAsia="細明體"/>
          <w:b/>
          <w:bCs/>
          <w:iCs/>
          <w:color w:val="000000"/>
          <w:kern w:val="0"/>
          <w:sz w:val="20"/>
        </w:rPr>
        <w:t>媒體聯繫：</w:t>
      </w:r>
    </w:p>
    <w:p w:rsidR="00C77154" w:rsidRPr="00C422D2" w:rsidRDefault="00C77154" w:rsidP="00C77154">
      <w:pPr>
        <w:widowControl/>
        <w:autoSpaceDE w:val="0"/>
        <w:autoSpaceDN w:val="0"/>
        <w:snapToGrid w:val="0"/>
        <w:spacing w:line="240" w:lineRule="exact"/>
        <w:contextualSpacing/>
        <w:mirrorIndents/>
        <w:rPr>
          <w:rFonts w:eastAsia="細明體"/>
          <w:iCs/>
          <w:color w:val="000000"/>
          <w:kern w:val="0"/>
          <w:sz w:val="20"/>
        </w:rPr>
      </w:pPr>
      <w:r w:rsidRPr="00C422D2">
        <w:rPr>
          <w:rFonts w:eastAsia="細明體"/>
          <w:iCs/>
          <w:color w:val="000000"/>
          <w:kern w:val="0"/>
          <w:sz w:val="20"/>
        </w:rPr>
        <w:t>李巧雲</w:t>
      </w:r>
      <w:r w:rsidRPr="00C422D2">
        <w:rPr>
          <w:rFonts w:eastAsia="細明體"/>
          <w:iCs/>
          <w:color w:val="000000"/>
          <w:kern w:val="0"/>
          <w:sz w:val="20"/>
        </w:rPr>
        <w:t xml:space="preserve"> </w:t>
      </w:r>
      <w:r w:rsidRPr="00C422D2">
        <w:rPr>
          <w:rFonts w:eastAsia="細明體"/>
          <w:iCs/>
          <w:color w:val="000000"/>
          <w:kern w:val="0"/>
          <w:sz w:val="20"/>
        </w:rPr>
        <w:t>電話：</w:t>
      </w:r>
      <w:r w:rsidRPr="00C422D2">
        <w:rPr>
          <w:rFonts w:eastAsia="細明體"/>
          <w:iCs/>
          <w:color w:val="000000"/>
          <w:kern w:val="0"/>
          <w:sz w:val="20"/>
        </w:rPr>
        <w:t xml:space="preserve">(853) 8822 8004 </w:t>
      </w:r>
    </w:p>
    <w:p w:rsidR="00C77154" w:rsidRPr="00C422D2" w:rsidRDefault="00BD1E94" w:rsidP="00C77154">
      <w:pPr>
        <w:widowControl/>
        <w:autoSpaceDE w:val="0"/>
        <w:autoSpaceDN w:val="0"/>
        <w:snapToGrid w:val="0"/>
        <w:spacing w:line="240" w:lineRule="exact"/>
        <w:contextualSpacing/>
        <w:mirrorIndents/>
        <w:rPr>
          <w:rFonts w:eastAsia="細明體"/>
          <w:iCs/>
          <w:color w:val="000000"/>
          <w:kern w:val="0"/>
          <w:sz w:val="20"/>
        </w:rPr>
      </w:pPr>
      <w:r w:rsidRPr="00C422D2">
        <w:rPr>
          <w:rFonts w:eastAsia="細明體"/>
          <w:iCs/>
          <w:color w:val="000000"/>
          <w:kern w:val="0"/>
          <w:sz w:val="20"/>
        </w:rPr>
        <w:t>余偉業</w:t>
      </w:r>
      <w:r w:rsidR="00C77154" w:rsidRPr="00C422D2">
        <w:rPr>
          <w:rFonts w:eastAsia="細明體"/>
          <w:iCs/>
          <w:color w:val="000000"/>
          <w:kern w:val="0"/>
          <w:sz w:val="20"/>
        </w:rPr>
        <w:t xml:space="preserve"> </w:t>
      </w:r>
      <w:r w:rsidR="00C77154" w:rsidRPr="00C422D2">
        <w:rPr>
          <w:rFonts w:eastAsia="細明體"/>
          <w:iCs/>
          <w:color w:val="000000"/>
          <w:kern w:val="0"/>
          <w:sz w:val="20"/>
        </w:rPr>
        <w:t>電話：</w:t>
      </w:r>
      <w:r w:rsidR="00C77154" w:rsidRPr="00C422D2">
        <w:rPr>
          <w:rFonts w:eastAsia="細明體"/>
          <w:iCs/>
          <w:color w:val="000000"/>
          <w:kern w:val="0"/>
          <w:sz w:val="20"/>
        </w:rPr>
        <w:t xml:space="preserve">(853) 8822 </w:t>
      </w:r>
      <w:r w:rsidRPr="00C422D2">
        <w:rPr>
          <w:rFonts w:eastAsia="細明體"/>
          <w:iCs/>
          <w:color w:val="000000"/>
          <w:kern w:val="0"/>
          <w:sz w:val="20"/>
        </w:rPr>
        <w:t>4322</w:t>
      </w:r>
    </w:p>
    <w:p w:rsidR="00C77154" w:rsidRPr="00C422D2" w:rsidRDefault="00C77154" w:rsidP="00AD4E66">
      <w:pPr>
        <w:spacing w:line="320" w:lineRule="exact"/>
        <w:rPr>
          <w:i/>
          <w:color w:val="000000"/>
          <w:kern w:val="0"/>
          <w:sz w:val="20"/>
        </w:rPr>
      </w:pPr>
      <w:r w:rsidRPr="00C422D2">
        <w:rPr>
          <w:rFonts w:eastAsia="細明體"/>
          <w:iCs/>
          <w:color w:val="000000"/>
          <w:kern w:val="0"/>
          <w:sz w:val="20"/>
        </w:rPr>
        <w:t>澳門大學傳訊部</w:t>
      </w:r>
      <w:r w:rsidRPr="00C422D2">
        <w:rPr>
          <w:rFonts w:eastAsia="細明體"/>
          <w:iCs/>
          <w:color w:val="000000"/>
          <w:kern w:val="0"/>
          <w:sz w:val="20"/>
        </w:rPr>
        <w:t xml:space="preserve"> </w:t>
      </w:r>
      <w:proofErr w:type="gramStart"/>
      <w:r w:rsidRPr="00C422D2">
        <w:rPr>
          <w:rFonts w:eastAsia="細明體"/>
          <w:iCs/>
          <w:color w:val="000000"/>
          <w:kern w:val="0"/>
          <w:sz w:val="20"/>
        </w:rPr>
        <w:t>│</w:t>
      </w:r>
      <w:proofErr w:type="gramEnd"/>
      <w:r w:rsidRPr="00C422D2">
        <w:rPr>
          <w:rFonts w:eastAsia="細明體"/>
          <w:iCs/>
          <w:color w:val="000000"/>
          <w:kern w:val="0"/>
          <w:sz w:val="20"/>
        </w:rPr>
        <w:t xml:space="preserve"> </w:t>
      </w:r>
      <w:r w:rsidRPr="00C422D2">
        <w:rPr>
          <w:rFonts w:eastAsia="細明體"/>
          <w:iCs/>
          <w:color w:val="000000"/>
          <w:kern w:val="0"/>
          <w:sz w:val="20"/>
        </w:rPr>
        <w:t>電郵：</w:t>
      </w:r>
      <w:r w:rsidRPr="00C422D2">
        <w:rPr>
          <w:rFonts w:eastAsia="細明體"/>
          <w:iCs/>
          <w:color w:val="000000"/>
          <w:kern w:val="0"/>
          <w:sz w:val="20"/>
        </w:rPr>
        <w:t>prs.media@um</w:t>
      </w:r>
      <w:r w:rsidR="00C92003">
        <w:rPr>
          <w:rFonts w:eastAsia="細明體"/>
          <w:iCs/>
          <w:color w:val="000000"/>
          <w:kern w:val="0"/>
          <w:sz w:val="20"/>
        </w:rPr>
        <w:t>.edu</w:t>
      </w:r>
      <w:r w:rsidRPr="00C422D2">
        <w:rPr>
          <w:rFonts w:eastAsia="細明體"/>
          <w:iCs/>
          <w:color w:val="000000"/>
          <w:kern w:val="0"/>
          <w:sz w:val="20"/>
        </w:rPr>
        <w:t xml:space="preserve">.mo │ </w:t>
      </w:r>
      <w:r w:rsidRPr="00C422D2">
        <w:rPr>
          <w:rFonts w:eastAsia="細明體"/>
          <w:iCs/>
          <w:color w:val="000000"/>
          <w:kern w:val="0"/>
          <w:sz w:val="20"/>
        </w:rPr>
        <w:t>澳門大學網頁：</w:t>
      </w:r>
      <w:hyperlink r:id="rId10" w:history="1">
        <w:r w:rsidR="00AD4E66" w:rsidRPr="0036077F">
          <w:rPr>
            <w:rStyle w:val="Hyperlink"/>
            <w:rFonts w:ascii="Times New Roman" w:eastAsia="細明體" w:hAnsi="Times New Roman" w:cs="Times New Roman"/>
            <w:iCs/>
            <w:kern w:val="0"/>
            <w:sz w:val="20"/>
          </w:rPr>
          <w:t>www.um.edu.mo</w:t>
        </w:r>
      </w:hyperlink>
      <w:r w:rsidR="007850DB" w:rsidRPr="00C422D2">
        <w:rPr>
          <w:rFonts w:eastAsia="細明體"/>
          <w:noProof/>
          <w:kern w:val="0"/>
          <w:szCs w:val="24"/>
          <w:lang w:eastAsia="zh-CN"/>
        </w:rPr>
        <w:drawing>
          <wp:anchor distT="0" distB="0" distL="114300" distR="114300" simplePos="0" relativeHeight="251656704" behindDoc="0" locked="0" layoutInCell="1" allowOverlap="1" wp14:anchorId="02A72B38" wp14:editId="6231C68D">
            <wp:simplePos x="0" y="0"/>
            <wp:positionH relativeFrom="column">
              <wp:posOffset>4445635</wp:posOffset>
            </wp:positionH>
            <wp:positionV relativeFrom="paragraph">
              <wp:posOffset>-444500</wp:posOffset>
            </wp:positionV>
            <wp:extent cx="603885" cy="603885"/>
            <wp:effectExtent l="0" t="0" r="5715" b="571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50DB" w:rsidRPr="00C422D2">
        <w:rPr>
          <w:rFonts w:eastAsia="細明體"/>
          <w:kern w:val="0"/>
          <w:szCs w:val="24"/>
        </w:rPr>
        <w:t xml:space="preserve"> </w:t>
      </w:r>
    </w:p>
    <w:p w:rsidR="000B0BBA" w:rsidRPr="00C77154" w:rsidRDefault="000B0BBA" w:rsidP="00850AE6">
      <w:pPr>
        <w:pStyle w:val="ListParagraph"/>
        <w:ind w:left="0"/>
        <w:rPr>
          <w:rFonts w:ascii="新細明體" w:hAnsi="新細明體" w:cs="新細明體"/>
          <w:kern w:val="0"/>
        </w:rPr>
      </w:pPr>
    </w:p>
    <w:sectPr w:rsidR="000B0BBA" w:rsidRPr="00C77154" w:rsidSect="00E35B56">
      <w:headerReference w:type="default" r:id="rId12"/>
      <w:footerReference w:type="default" r:id="rId13"/>
      <w:pgSz w:w="11906" w:h="16838" w:code="9"/>
      <w:pgMar w:top="2835" w:right="1701" w:bottom="1701" w:left="1701" w:header="992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D89" w:rsidRDefault="00481D89">
      <w:r>
        <w:separator/>
      </w:r>
    </w:p>
  </w:endnote>
  <w:endnote w:type="continuationSeparator" w:id="0">
    <w:p w:rsidR="00481D89" w:rsidRDefault="0048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Shu-SB-Estd-BF">
    <w:altName w:val="Arial Unicode MS"/>
    <w:charset w:val="86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JhengHeiRegular">
    <w:altName w:val="SimSun"/>
    <w:charset w:val="86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A" w:rsidRDefault="00E35B56">
    <w:pPr>
      <w:pStyle w:val="Footer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-762000</wp:posOffset>
              </wp:positionH>
              <wp:positionV relativeFrom="page">
                <wp:posOffset>10134600</wp:posOffset>
              </wp:positionV>
              <wp:extent cx="6708140" cy="69278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8140" cy="692785"/>
                        <a:chOff x="737" y="15989"/>
                        <a:chExt cx="10564" cy="72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53" y="15989"/>
                          <a:ext cx="576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BBA" w:rsidRDefault="000B0BBA">
                            <w:pPr>
                              <w:spacing w:line="240" w:lineRule="exact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37" y="16074"/>
                          <a:ext cx="144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BBA" w:rsidRDefault="000B0BBA">
                            <w:pPr>
                              <w:snapToGrid w:val="0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501" y="16074"/>
                          <a:ext cx="180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BBA" w:rsidRDefault="000B0B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60pt;margin-top:798pt;width:528.2pt;height:54.55pt;z-index:251656704;mso-position-vertical-relative:page" coordorigin="737,15989" coordsize="105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53;top:15989;width:576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0B0BBA" w:rsidRDefault="000B0BBA">
                      <w:pPr>
                        <w:spacing w:line="240" w:lineRule="exact"/>
                        <w:jc w:val="center"/>
                        <w:rPr>
                          <w:sz w:val="13"/>
                        </w:rPr>
                      </w:pPr>
                    </w:p>
                  </w:txbxContent>
                </v:textbox>
              </v:shape>
              <v:shape id="Text Box 3" o:spid="_x0000_s1028" type="#_x0000_t202" style="position:absolute;left:737;top:1607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0B0BBA" w:rsidRDefault="000B0BBA">
                      <w:pPr>
                        <w:snapToGrid w:val="0"/>
                        <w:spacing w:line="200" w:lineRule="exact"/>
                      </w:pPr>
                    </w:p>
                  </w:txbxContent>
                </v:textbox>
              </v:shape>
              <v:shape id="Text Box 4" o:spid="_x0000_s1029" type="#_x0000_t202" style="position:absolute;left:9501;top:1607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0B0BBA" w:rsidRDefault="000B0BBA"/>
                  </w:txbxContent>
                </v:textbox>
              </v:shape>
              <w10:wrap anchory="page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838200</wp:posOffset>
              </wp:positionH>
              <wp:positionV relativeFrom="paragraph">
                <wp:posOffset>138430</wp:posOffset>
              </wp:positionV>
              <wp:extent cx="3810000" cy="80010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655" w:rsidRPr="007F36DD" w:rsidRDefault="00842655" w:rsidP="00842655">
                          <w:pPr>
                            <w:jc w:val="center"/>
                            <w:rPr>
                              <w:rFonts w:ascii="新細明體" w:hAnsi="新細明體" w:cs="Arial"/>
                              <w:sz w:val="14"/>
                              <w:szCs w:val="14"/>
                              <w:lang w:val="pt-PT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 w:val="14"/>
                              <w:szCs w:val="14"/>
                            </w:rPr>
                            <w:t>中國</w:t>
                          </w:r>
                          <w:r w:rsidRPr="00F14908"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>澳門氹仔</w:t>
                          </w:r>
                          <w:r>
                            <w:rPr>
                              <w:rFonts w:ascii="新細明體" w:hAnsi="新細明體" w:hint="eastAsia"/>
                              <w:sz w:val="14"/>
                              <w:szCs w:val="14"/>
                            </w:rPr>
                            <w:t>大學大</w:t>
                          </w:r>
                          <w:r w:rsidRPr="00F14908"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 xml:space="preserve">馬路 </w:t>
                          </w:r>
                          <w:r w:rsidRPr="00F14908"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</w:rPr>
                            <w:t>Av</w:t>
                          </w:r>
                          <w:r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</w:rPr>
                            <w:t>ENIDA DA UNIVERSIDADE</w:t>
                          </w:r>
                          <w:r w:rsidRPr="007F36DD"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  <w:lang w:val="pt-PT"/>
                            </w:rPr>
                            <w:t>, Taipa, Macau, China</w:t>
                          </w:r>
                        </w:p>
                        <w:p w:rsidR="00842655" w:rsidRPr="00F14908" w:rsidRDefault="00842655" w:rsidP="00842655">
                          <w:pPr>
                            <w:jc w:val="center"/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</w:pP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電話 Tel.: 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822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8833</w:t>
                          </w: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  傳真 Fax.: 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822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8822</w:t>
                          </w:r>
                        </w:p>
                        <w:p w:rsidR="00453838" w:rsidRDefault="00453838" w:rsidP="00453838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66pt;margin-top:10.9pt;width:30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" stroked="f">
              <v:textbox>
                <w:txbxContent>
                  <w:p w:rsidR="00842655" w:rsidRPr="007F36DD" w:rsidRDefault="00842655" w:rsidP="00842655">
                    <w:pPr>
                      <w:jc w:val="center"/>
                      <w:rPr>
                        <w:rFonts w:ascii="新細明體" w:hAnsi="新細明體" w:cs="Arial"/>
                        <w:sz w:val="14"/>
                        <w:szCs w:val="14"/>
                        <w:lang w:val="pt-PT"/>
                      </w:rPr>
                    </w:pPr>
                    <w:r>
                      <w:rPr>
                        <w:rFonts w:ascii="新細明體" w:hAnsi="新細明體" w:hint="eastAsia"/>
                        <w:sz w:val="14"/>
                        <w:szCs w:val="14"/>
                      </w:rPr>
                      <w:t>中國</w:t>
                    </w:r>
                    <w:r w:rsidRPr="00F14908">
                      <w:rPr>
                        <w:rFonts w:ascii="新細明體" w:hAnsi="新細明體"/>
                        <w:sz w:val="14"/>
                        <w:szCs w:val="14"/>
                      </w:rPr>
                      <w:t>澳門氹仔</w:t>
                    </w:r>
                    <w:r>
                      <w:rPr>
                        <w:rFonts w:ascii="新細明體" w:hAnsi="新細明體" w:hint="eastAsia"/>
                        <w:sz w:val="14"/>
                        <w:szCs w:val="14"/>
                      </w:rPr>
                      <w:t>大學大</w:t>
                    </w:r>
                    <w:r w:rsidRPr="00F14908">
                      <w:rPr>
                        <w:rFonts w:ascii="新細明體" w:hAnsi="新細明體"/>
                        <w:sz w:val="14"/>
                        <w:szCs w:val="14"/>
                      </w:rPr>
                      <w:t xml:space="preserve">馬路 </w:t>
                    </w:r>
                    <w:r w:rsidRPr="00F14908">
                      <w:rPr>
                        <w:rFonts w:ascii="新細明體" w:hAnsi="新細明體" w:cs="Arial"/>
                        <w:caps/>
                        <w:sz w:val="14"/>
                        <w:szCs w:val="14"/>
                      </w:rPr>
                      <w:t>Av</w:t>
                    </w:r>
                    <w:r>
                      <w:rPr>
                        <w:rFonts w:ascii="新細明體" w:hAnsi="新細明體" w:cs="Arial"/>
                        <w:caps/>
                        <w:sz w:val="14"/>
                        <w:szCs w:val="14"/>
                      </w:rPr>
                      <w:t>ENIDA DA UNIVERSIDADE</w:t>
                    </w:r>
                    <w:r w:rsidRPr="007F36DD">
                      <w:rPr>
                        <w:rFonts w:ascii="新細明體" w:hAnsi="新細明體" w:cs="Arial"/>
                        <w:caps/>
                        <w:sz w:val="14"/>
                        <w:szCs w:val="14"/>
                        <w:lang w:val="pt-PT"/>
                      </w:rPr>
                      <w:t>, Taipa, Macau, China</w:t>
                    </w:r>
                  </w:p>
                  <w:p w:rsidR="00842655" w:rsidRPr="00F14908" w:rsidRDefault="00842655" w:rsidP="00842655">
                    <w:pPr>
                      <w:jc w:val="center"/>
                      <w:rPr>
                        <w:rFonts w:ascii="新細明體" w:hAnsi="新細明體"/>
                        <w:sz w:val="14"/>
                        <w:szCs w:val="14"/>
                      </w:rPr>
                    </w:pPr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 xml:space="preserve">電話 Tel.: 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822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8833</w:t>
                    </w:r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 xml:space="preserve">  傳真 Fax.: 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822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8822</w:t>
                    </w:r>
                  </w:p>
                  <w:p w:rsidR="00453838" w:rsidRDefault="00453838" w:rsidP="00453838">
                    <w:pPr>
                      <w:spacing w:line="240" w:lineRule="exact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D89" w:rsidRDefault="00481D89">
      <w:r>
        <w:separator/>
      </w:r>
    </w:p>
  </w:footnote>
  <w:footnote w:type="continuationSeparator" w:id="0">
    <w:p w:rsidR="00481D89" w:rsidRDefault="00481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A" w:rsidRDefault="00E35B56" w:rsidP="001235A9">
    <w:pPr>
      <w:pStyle w:val="Header"/>
      <w:jc w:val="right"/>
    </w:pPr>
    <w:r>
      <w:rPr>
        <w:noProof/>
        <w:lang w:eastAsia="zh-CN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1870710</wp:posOffset>
          </wp:positionH>
          <wp:positionV relativeFrom="paragraph">
            <wp:posOffset>-257175</wp:posOffset>
          </wp:positionV>
          <wp:extent cx="1480820" cy="1350010"/>
          <wp:effectExtent l="0" t="0" r="5080" b="2540"/>
          <wp:wrapSquare wrapText="bothSides"/>
          <wp:docPr id="12" name="圖片 12" descr="C:\Users\pslam\Desktop\UM logo\logo\B&amp;W\UM Logo Chinese+Portuguese+English B&amp;W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pslam\Desktop\UM logo\logo\B&amp;W\UM Logo Chinese+Portuguese+English B&amp;W 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135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BD143022"/>
    <w:name w:val="WW8Num2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b w:val="0"/>
        <w:i w:val="0"/>
        <w:color w:val="auto"/>
        <w:sz w:val="16"/>
        <w:szCs w:val="16"/>
        <w:lang w:val="en-US"/>
      </w:rPr>
    </w:lvl>
  </w:abstractNum>
  <w:abstractNum w:abstractNumId="1" w15:restartNumberingAfterBreak="0">
    <w:nsid w:val="06226850"/>
    <w:multiLevelType w:val="hybridMultilevel"/>
    <w:tmpl w:val="48E27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35465"/>
    <w:multiLevelType w:val="hybridMultilevel"/>
    <w:tmpl w:val="B35E8A58"/>
    <w:lvl w:ilvl="0" w:tplc="D744E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F2DC0"/>
    <w:multiLevelType w:val="hybridMultilevel"/>
    <w:tmpl w:val="0EC4B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B2927"/>
    <w:multiLevelType w:val="hybridMultilevel"/>
    <w:tmpl w:val="605E6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A14CB"/>
    <w:multiLevelType w:val="hybridMultilevel"/>
    <w:tmpl w:val="FEC09832"/>
    <w:lvl w:ilvl="0" w:tplc="D8829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35513D"/>
    <w:multiLevelType w:val="hybridMultilevel"/>
    <w:tmpl w:val="15F26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F9"/>
    <w:rsid w:val="00063712"/>
    <w:rsid w:val="00091F4C"/>
    <w:rsid w:val="000974C2"/>
    <w:rsid w:val="000B0BBA"/>
    <w:rsid w:val="001235A9"/>
    <w:rsid w:val="00140892"/>
    <w:rsid w:val="00160C6C"/>
    <w:rsid w:val="001C5BCF"/>
    <w:rsid w:val="001D38CD"/>
    <w:rsid w:val="001E5482"/>
    <w:rsid w:val="00227570"/>
    <w:rsid w:val="00232BEC"/>
    <w:rsid w:val="00235636"/>
    <w:rsid w:val="00236AB5"/>
    <w:rsid w:val="00252465"/>
    <w:rsid w:val="002E5FEB"/>
    <w:rsid w:val="002E71C0"/>
    <w:rsid w:val="002F0011"/>
    <w:rsid w:val="00312AD4"/>
    <w:rsid w:val="00337F4B"/>
    <w:rsid w:val="003563C3"/>
    <w:rsid w:val="00393184"/>
    <w:rsid w:val="003B7C72"/>
    <w:rsid w:val="003C076E"/>
    <w:rsid w:val="00406373"/>
    <w:rsid w:val="00415178"/>
    <w:rsid w:val="00420B81"/>
    <w:rsid w:val="00445870"/>
    <w:rsid w:val="00453838"/>
    <w:rsid w:val="00481D89"/>
    <w:rsid w:val="004A113D"/>
    <w:rsid w:val="004A2E57"/>
    <w:rsid w:val="004D4FF3"/>
    <w:rsid w:val="004D6AD4"/>
    <w:rsid w:val="005A7A2D"/>
    <w:rsid w:val="0060769C"/>
    <w:rsid w:val="00623E8E"/>
    <w:rsid w:val="00653C4C"/>
    <w:rsid w:val="006542BB"/>
    <w:rsid w:val="006670ED"/>
    <w:rsid w:val="006B602D"/>
    <w:rsid w:val="006D366A"/>
    <w:rsid w:val="0070707E"/>
    <w:rsid w:val="00726AA6"/>
    <w:rsid w:val="007850DB"/>
    <w:rsid w:val="007858BE"/>
    <w:rsid w:val="007A776D"/>
    <w:rsid w:val="008027CC"/>
    <w:rsid w:val="00814FCD"/>
    <w:rsid w:val="00842655"/>
    <w:rsid w:val="00850AE6"/>
    <w:rsid w:val="008539AB"/>
    <w:rsid w:val="008560C7"/>
    <w:rsid w:val="008C40F3"/>
    <w:rsid w:val="009456DC"/>
    <w:rsid w:val="00970258"/>
    <w:rsid w:val="009B4D25"/>
    <w:rsid w:val="009D692D"/>
    <w:rsid w:val="00A57B46"/>
    <w:rsid w:val="00A83192"/>
    <w:rsid w:val="00AC0A05"/>
    <w:rsid w:val="00AD0E4D"/>
    <w:rsid w:val="00AD4E66"/>
    <w:rsid w:val="00AD5642"/>
    <w:rsid w:val="00B109BE"/>
    <w:rsid w:val="00B11086"/>
    <w:rsid w:val="00B203F8"/>
    <w:rsid w:val="00B20CBC"/>
    <w:rsid w:val="00B634D9"/>
    <w:rsid w:val="00BB401E"/>
    <w:rsid w:val="00BD1E94"/>
    <w:rsid w:val="00BF2F62"/>
    <w:rsid w:val="00C06D45"/>
    <w:rsid w:val="00C40CF9"/>
    <w:rsid w:val="00C422D2"/>
    <w:rsid w:val="00C76017"/>
    <w:rsid w:val="00C77154"/>
    <w:rsid w:val="00C8413A"/>
    <w:rsid w:val="00C92003"/>
    <w:rsid w:val="00CA3F99"/>
    <w:rsid w:val="00CA5CF3"/>
    <w:rsid w:val="00CC25A1"/>
    <w:rsid w:val="00CD1C0F"/>
    <w:rsid w:val="00CF3DE7"/>
    <w:rsid w:val="00D7447D"/>
    <w:rsid w:val="00D80C36"/>
    <w:rsid w:val="00DE69D9"/>
    <w:rsid w:val="00E35B56"/>
    <w:rsid w:val="00E37B8B"/>
    <w:rsid w:val="00F14908"/>
    <w:rsid w:val="00F25EA8"/>
    <w:rsid w:val="00F336AF"/>
    <w:rsid w:val="00F35453"/>
    <w:rsid w:val="00FB578D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roke="f">
      <v:stroke on="f"/>
    </o:shapedefaults>
    <o:shapelayout v:ext="edit">
      <o:idmap v:ext="edit" data="1"/>
    </o:shapelayout>
  </w:shapeDefaults>
  <w:decimalSymbol w:val="."/>
  <w:listSeparator w:val=","/>
  <w15:docId w15:val="{04B8D0CA-5349-4EB6-A23C-6CF10399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AD4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06D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F14908"/>
    <w:rPr>
      <w:rFonts w:ascii="Arial" w:hAnsi="Arial"/>
      <w:sz w:val="18"/>
      <w:szCs w:val="18"/>
    </w:rPr>
  </w:style>
  <w:style w:type="paragraph" w:styleId="NormalWeb">
    <w:name w:val="Normal (Web)"/>
    <w:basedOn w:val="Normal"/>
    <w:uiPriority w:val="99"/>
    <w:rsid w:val="004D6A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yperlink">
    <w:name w:val="Hyperlink"/>
    <w:rsid w:val="00FE37B6"/>
    <w:rPr>
      <w:rFonts w:ascii="Arial" w:hAnsi="Arial" w:cs="Arial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7B6"/>
    <w:pPr>
      <w:ind w:left="720"/>
      <w:contextualSpacing/>
    </w:pPr>
    <w:rPr>
      <w:szCs w:val="24"/>
    </w:rPr>
  </w:style>
  <w:style w:type="character" w:customStyle="1" w:styleId="Heading3Char">
    <w:name w:val="Heading 3 Char"/>
    <w:basedOn w:val="DefaultParagraphFont"/>
    <w:link w:val="Heading3"/>
    <w:rsid w:val="00C06D45"/>
    <w:rPr>
      <w:rFonts w:ascii="Cambria" w:hAnsi="Cambria"/>
      <w:b/>
      <w:bCs/>
      <w:kern w:val="2"/>
      <w:sz w:val="26"/>
      <w:szCs w:val="26"/>
    </w:rPr>
  </w:style>
  <w:style w:type="paragraph" w:styleId="Revision">
    <w:name w:val="Revision"/>
    <w:hidden/>
    <w:uiPriority w:val="99"/>
    <w:semiHidden/>
    <w:rsid w:val="00C06D45"/>
    <w:rPr>
      <w:kern w:val="2"/>
      <w:sz w:val="24"/>
    </w:rPr>
  </w:style>
  <w:style w:type="character" w:customStyle="1" w:styleId="Heading1Char">
    <w:name w:val="Heading 1 Char"/>
    <w:basedOn w:val="DefaultParagraphFont"/>
    <w:link w:val="Heading1"/>
    <w:rsid w:val="00C06D45"/>
    <w:rPr>
      <w:b/>
      <w:kern w:val="2"/>
      <w:sz w:val="24"/>
    </w:rPr>
  </w:style>
  <w:style w:type="character" w:customStyle="1" w:styleId="BodyTextChar">
    <w:name w:val="Body Text Char"/>
    <w:basedOn w:val="DefaultParagraphFont"/>
    <w:link w:val="BodyText"/>
    <w:rsid w:val="00C06D45"/>
    <w:rPr>
      <w:kern w:val="2"/>
      <w:sz w:val="24"/>
    </w:rPr>
  </w:style>
  <w:style w:type="character" w:customStyle="1" w:styleId="HeaderChar">
    <w:name w:val="Header Char"/>
    <w:basedOn w:val="DefaultParagraphFont"/>
    <w:link w:val="Header"/>
    <w:rsid w:val="00C06D45"/>
    <w:rPr>
      <w:kern w:val="2"/>
    </w:rPr>
  </w:style>
  <w:style w:type="character" w:customStyle="1" w:styleId="FooterChar">
    <w:name w:val="Footer Char"/>
    <w:basedOn w:val="DefaultParagraphFont"/>
    <w:link w:val="Footer"/>
    <w:rsid w:val="00C06D45"/>
    <w:rPr>
      <w:kern w:val="2"/>
    </w:rPr>
  </w:style>
  <w:style w:type="character" w:customStyle="1" w:styleId="BalloonTextChar">
    <w:name w:val="Balloon Text Char"/>
    <w:basedOn w:val="DefaultParagraphFont"/>
    <w:link w:val="BalloonText"/>
    <w:semiHidden/>
    <w:rsid w:val="00C06D45"/>
    <w:rPr>
      <w:rFonts w:ascii="Arial" w:hAnsi="Arial"/>
      <w:kern w:val="2"/>
      <w:sz w:val="18"/>
      <w:szCs w:val="18"/>
    </w:rPr>
  </w:style>
  <w:style w:type="numbering" w:customStyle="1" w:styleId="1">
    <w:name w:val="無清單1"/>
    <w:next w:val="NoList"/>
    <w:uiPriority w:val="99"/>
    <w:semiHidden/>
    <w:unhideWhenUsed/>
    <w:rsid w:val="00C06D45"/>
  </w:style>
  <w:style w:type="character" w:styleId="PageNumber">
    <w:name w:val="page number"/>
    <w:rsid w:val="00C06D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m.edu.m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elei\AppData\Roaming\Microsoft\Templates\UM_Letter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94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zh-TW" altLang="en-US" sz="1391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   圖 1: 本地生產總值</a:t>
            </a:r>
          </a:p>
          <a:p>
            <a:pPr>
              <a:defRPr sz="994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zh-TW" altLang="en-US" sz="1391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(億(2016)澳門元)</a:t>
            </a:r>
          </a:p>
        </c:rich>
      </c:tx>
      <c:layout>
        <c:manualLayout>
          <c:xMode val="edge"/>
          <c:yMode val="edge"/>
          <c:x val="0.3412302421296719"/>
          <c:y val="1.9021605581625512E-2"/>
        </c:manualLayout>
      </c:layout>
      <c:overlay val="0"/>
      <c:spPr>
        <a:noFill/>
        <a:ln w="2532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3247588424437297E-2"/>
          <c:y val="0.11464968152866242"/>
          <c:w val="0.87138263665594851"/>
          <c:h val="0.68800737224023467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本地生產總值</c:v>
                </c:pt>
              </c:strCache>
            </c:strRef>
          </c:tx>
          <c:spPr>
            <a:ln w="25320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strRef>
              <c:f>Sheet1!$A$2:$A$24</c:f>
              <c:strCache>
                <c:ptCount val="23"/>
                <c:pt idx="0">
                  <c:v>2013年第1季</c:v>
                </c:pt>
                <c:pt idx="1">
                  <c:v>2013年第2季</c:v>
                </c:pt>
                <c:pt idx="2">
                  <c:v>2013年第3季</c:v>
                </c:pt>
                <c:pt idx="3">
                  <c:v>2013年第4季</c:v>
                </c:pt>
                <c:pt idx="4">
                  <c:v>2014年第1季</c:v>
                </c:pt>
                <c:pt idx="5">
                  <c:v>2014年第2季</c:v>
                </c:pt>
                <c:pt idx="6">
                  <c:v>2014年第3季</c:v>
                </c:pt>
                <c:pt idx="7">
                  <c:v>2014年第4季</c:v>
                </c:pt>
                <c:pt idx="8">
                  <c:v>2015年第1季</c:v>
                </c:pt>
                <c:pt idx="9">
                  <c:v>2015年第2季</c:v>
                </c:pt>
                <c:pt idx="10">
                  <c:v>2015年第3季</c:v>
                </c:pt>
                <c:pt idx="11">
                  <c:v>2015年第4季</c:v>
                </c:pt>
                <c:pt idx="12">
                  <c:v>2016年第1季</c:v>
                </c:pt>
                <c:pt idx="13">
                  <c:v>2016年第2季</c:v>
                </c:pt>
                <c:pt idx="14">
                  <c:v>2016年第3季</c:v>
                </c:pt>
                <c:pt idx="15">
                  <c:v>2016年第4季</c:v>
                </c:pt>
                <c:pt idx="16">
                  <c:v>2017年第1季</c:v>
                </c:pt>
                <c:pt idx="17">
                  <c:v>2017年第2季</c:v>
                </c:pt>
                <c:pt idx="18">
                  <c:v>2017年第3季</c:v>
                </c:pt>
                <c:pt idx="19">
                  <c:v>2017年第4季</c:v>
                </c:pt>
                <c:pt idx="20">
                  <c:v>2018年第1季</c:v>
                </c:pt>
                <c:pt idx="21">
                  <c:v>2018年第2季</c:v>
                </c:pt>
                <c:pt idx="22">
                  <c:v>2018年第3季</c:v>
                </c:pt>
              </c:strCache>
            </c:strRef>
          </c:cat>
          <c:val>
            <c:numRef>
              <c:f>Sheet1!$B$2:$B$24</c:f>
              <c:numCache>
                <c:formatCode>g/"通""用""格""式"</c:formatCode>
                <c:ptCount val="23"/>
                <c:pt idx="0">
                  <c:v>1108.3849299999999</c:v>
                </c:pt>
                <c:pt idx="1">
                  <c:v>1130.2174299999999</c:v>
                </c:pt>
                <c:pt idx="2">
                  <c:v>1163.6946</c:v>
                </c:pt>
                <c:pt idx="3">
                  <c:v>1315.9305300000001</c:v>
                </c:pt>
                <c:pt idx="4">
                  <c:v>1242.8412699999999</c:v>
                </c:pt>
                <c:pt idx="5">
                  <c:v>1194.76602</c:v>
                </c:pt>
                <c:pt idx="6">
                  <c:v>1120.7936399999999</c:v>
                </c:pt>
                <c:pt idx="7">
                  <c:v>1103.15653</c:v>
                </c:pt>
                <c:pt idx="8">
                  <c:v>960.04469999999992</c:v>
                </c:pt>
                <c:pt idx="9">
                  <c:v>901.21695999999997</c:v>
                </c:pt>
                <c:pt idx="10">
                  <c:v>876.50214000000005</c:v>
                </c:pt>
                <c:pt idx="11">
                  <c:v>917.15439000000003</c:v>
                </c:pt>
                <c:pt idx="12">
                  <c:v>854.05032000000006</c:v>
                </c:pt>
                <c:pt idx="13">
                  <c:v>850.81538</c:v>
                </c:pt>
                <c:pt idx="14">
                  <c:v>920.64217999999994</c:v>
                </c:pt>
                <c:pt idx="15">
                  <c:v>998.05031999999994</c:v>
                </c:pt>
                <c:pt idx="16">
                  <c:v>951.04773</c:v>
                </c:pt>
                <c:pt idx="17">
                  <c:v>955.01558</c:v>
                </c:pt>
                <c:pt idx="18">
                  <c:v>993.23689999999999</c:v>
                </c:pt>
                <c:pt idx="19">
                  <c:v>1075.8933299999999</c:v>
                </c:pt>
                <c:pt idx="20">
                  <c:v>1040.39608</c:v>
                </c:pt>
                <c:pt idx="21">
                  <c:v>1011.1659199999999</c:v>
                </c:pt>
                <c:pt idx="22">
                  <c:v>1009.2017699999999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436-48A6-85C1-6255D1553C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8711584"/>
        <c:axId val="308707664"/>
      </c:lineChart>
      <c:catAx>
        <c:axId val="308711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0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109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08707664"/>
        <c:crosses val="autoZero"/>
        <c:auto val="1"/>
        <c:lblAlgn val="ctr"/>
        <c:lblOffset val="100"/>
        <c:noMultiLvlLbl val="0"/>
      </c:catAx>
      <c:valAx>
        <c:axId val="308707664"/>
        <c:scaling>
          <c:orientation val="minMax"/>
          <c:max val="1400"/>
        </c:scaling>
        <c:delete val="0"/>
        <c:axPos val="l"/>
        <c:majorGridlines>
          <c:spPr>
            <a:ln w="3160">
              <a:solidFill>
                <a:srgbClr val="000000"/>
              </a:solidFill>
              <a:prstDash val="solid"/>
            </a:ln>
          </c:spPr>
        </c:majorGridlines>
        <c:numFmt formatCode="#,##0_ " sourceLinked="0"/>
        <c:majorTickMark val="none"/>
        <c:minorTickMark val="none"/>
        <c:tickLblPos val="nextTo"/>
        <c:spPr>
          <a:ln w="31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0" i="0" u="none" strike="noStrike" baseline="0">
                <a:solidFill>
                  <a:srgbClr val="000000"/>
                </a:solidFill>
                <a:latin typeface="Arial "/>
                <a:ea typeface="Arial "/>
                <a:cs typeface="Arial "/>
              </a:defRPr>
            </a:pPr>
            <a:endParaRPr lang="en-US"/>
          </a:p>
        </c:txPr>
        <c:crossAx val="308711584"/>
        <c:crosses val="autoZero"/>
        <c:crossBetween val="midCat"/>
        <c:majorUnit val="200"/>
      </c:valAx>
      <c:spPr>
        <a:solidFill>
          <a:srgbClr val="FFFFFF"/>
        </a:solidFill>
        <a:ln w="316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65">
      <a:solidFill>
        <a:srgbClr val="000000"/>
      </a:solidFill>
      <a:prstDash val="solid"/>
    </a:ln>
  </c:spPr>
  <c:txPr>
    <a:bodyPr/>
    <a:lstStyle/>
    <a:p>
      <a:pPr>
        <a:defRPr sz="997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9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zh-TW" altLang="en-US" sz="1393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  </a:t>
            </a:r>
            <a:r>
              <a:rPr lang="zh-TW" altLang="en-US" sz="1393" b="1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Calibri"/>
              </a:rPr>
              <a:t> 圖 2: 本地生產總值</a:t>
            </a:r>
          </a:p>
          <a:p>
            <a:pPr>
              <a:defRPr sz="99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zh-TW" altLang="en-US" sz="1393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(與去年同期季度比較之實質增長率(%))</a:t>
            </a:r>
          </a:p>
        </c:rich>
      </c:tx>
      <c:layout>
        <c:manualLayout>
          <c:xMode val="edge"/>
          <c:yMode val="edge"/>
          <c:x val="0.21656045803263357"/>
          <c:y val="1.9021313435297026E-2"/>
        </c:manualLayout>
      </c:layout>
      <c:overlay val="0"/>
      <c:spPr>
        <a:noFill/>
        <a:ln w="2536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4013157894736836E-2"/>
          <c:y val="0.12559618441971382"/>
          <c:w val="0.89967105263157898"/>
          <c:h val="0.856915739268680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Sheet1!$B$25</c:f>
              <c:strCache>
                <c:ptCount val="1"/>
                <c:pt idx="0">
                  <c:v>本地生產總值</c:v>
                </c:pt>
              </c:strCache>
            </c:strRef>
          </c:tx>
          <c:spPr>
            <a:solidFill>
              <a:srgbClr val="3366FF"/>
            </a:solidFill>
            <a:ln w="1266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Sheet1!$A$26:$A$44</c:f>
              <c:strCache>
                <c:ptCount val="19"/>
                <c:pt idx="0">
                  <c:v>2014年第1季</c:v>
                </c:pt>
                <c:pt idx="1">
                  <c:v>2014年第2季</c:v>
                </c:pt>
                <c:pt idx="2">
                  <c:v>2014年第3季</c:v>
                </c:pt>
                <c:pt idx="3">
                  <c:v>2014年第4季</c:v>
                </c:pt>
                <c:pt idx="4">
                  <c:v>2015年第1季</c:v>
                </c:pt>
                <c:pt idx="5">
                  <c:v>2015年第2季</c:v>
                </c:pt>
                <c:pt idx="6">
                  <c:v>2015年第3季</c:v>
                </c:pt>
                <c:pt idx="7">
                  <c:v>2015年第4季</c:v>
                </c:pt>
                <c:pt idx="8">
                  <c:v>2016年第1季</c:v>
                </c:pt>
                <c:pt idx="9">
                  <c:v>2016年第2季</c:v>
                </c:pt>
                <c:pt idx="10">
                  <c:v>2016年第3季</c:v>
                </c:pt>
                <c:pt idx="11">
                  <c:v>2016年第4季</c:v>
                </c:pt>
                <c:pt idx="12">
                  <c:v>2017年第1季</c:v>
                </c:pt>
                <c:pt idx="13">
                  <c:v>2017年第2季</c:v>
                </c:pt>
                <c:pt idx="14">
                  <c:v>2017年第3季</c:v>
                </c:pt>
                <c:pt idx="15">
                  <c:v>2017年第4季</c:v>
                </c:pt>
                <c:pt idx="16">
                  <c:v>2018年第1季</c:v>
                </c:pt>
                <c:pt idx="17">
                  <c:v>2018年第2季</c:v>
                </c:pt>
                <c:pt idx="18">
                  <c:v>2018年第3季</c:v>
                </c:pt>
              </c:strCache>
            </c:strRef>
          </c:cat>
          <c:val>
            <c:numRef>
              <c:f>Sheet1!$B$26:$B$44</c:f>
              <c:numCache>
                <c:formatCode>g/"通""用""格""式"</c:formatCode>
                <c:ptCount val="19"/>
                <c:pt idx="0">
                  <c:v>12.130834366360421</c:v>
                </c:pt>
                <c:pt idx="1">
                  <c:v>5.7111656825182822</c:v>
                </c:pt>
                <c:pt idx="2">
                  <c:v>-3.6866167463525334</c:v>
                </c:pt>
                <c:pt idx="3">
                  <c:v>-16.169090628211215</c:v>
                </c:pt>
                <c:pt idx="4">
                  <c:v>-22.754037609323994</c:v>
                </c:pt>
                <c:pt idx="5">
                  <c:v>-24.569585599697596</c:v>
                </c:pt>
                <c:pt idx="6">
                  <c:v>-21.796296060352361</c:v>
                </c:pt>
                <c:pt idx="7">
                  <c:v>-16.860901870380985</c:v>
                </c:pt>
                <c:pt idx="8">
                  <c:v>-11.040567173590965</c:v>
                </c:pt>
                <c:pt idx="9">
                  <c:v>-5.5926133480665889</c:v>
                </c:pt>
                <c:pt idx="10">
                  <c:v>5.0359306595646025</c:v>
                </c:pt>
                <c:pt idx="11">
                  <c:v>8.820317591240002</c:v>
                </c:pt>
                <c:pt idx="12">
                  <c:v>11.357341333236647</c:v>
                </c:pt>
                <c:pt idx="13">
                  <c:v>12.247098777175381</c:v>
                </c:pt>
                <c:pt idx="14">
                  <c:v>7.8852263753546481</c:v>
                </c:pt>
                <c:pt idx="15">
                  <c:v>7.7995075438681338</c:v>
                </c:pt>
                <c:pt idx="16">
                  <c:v>9.3947282750992844</c:v>
                </c:pt>
                <c:pt idx="17">
                  <c:v>5.8795208346234418</c:v>
                </c:pt>
                <c:pt idx="18">
                  <c:v>1.6073577210029111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6C-40F6-AF36-9FB3127CCE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8705704"/>
        <c:axId val="308710800"/>
      </c:barChart>
      <c:catAx>
        <c:axId val="308705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109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08710800"/>
        <c:crosses val="autoZero"/>
        <c:auto val="1"/>
        <c:lblAlgn val="ctr"/>
        <c:lblOffset val="100"/>
        <c:noMultiLvlLbl val="0"/>
      </c:catAx>
      <c:valAx>
        <c:axId val="308710800"/>
        <c:scaling>
          <c:orientation val="minMax"/>
          <c:max val="15"/>
          <c:min val="-25"/>
        </c:scaling>
        <c:delete val="0"/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#,##0_ " sourceLinked="0"/>
        <c:majorTickMark val="none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Arial "/>
                <a:ea typeface="Arial "/>
                <a:cs typeface="Arial "/>
              </a:defRPr>
            </a:pPr>
            <a:endParaRPr lang="en-US"/>
          </a:p>
        </c:txPr>
        <c:crossAx val="308705704"/>
        <c:crosses val="autoZero"/>
        <c:crossBetween val="between"/>
        <c:majorUnit val="5"/>
      </c:valAx>
      <c:spPr>
        <a:solidFill>
          <a:srgbClr val="FFFFFF"/>
        </a:solidFill>
        <a:ln w="316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0">
      <a:solidFill>
        <a:srgbClr val="000000"/>
      </a:solidFill>
      <a:prstDash val="solid"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UM_Letter</Template>
  <TotalTime>33</TotalTime>
  <Pages>6</Pages>
  <Words>2927</Words>
  <Characters>1834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 Shop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plslam</dc:creator>
  <cp:lastModifiedBy>juditelam</cp:lastModifiedBy>
  <cp:revision>5</cp:revision>
  <cp:lastPrinted>2011-07-15T09:14:00Z</cp:lastPrinted>
  <dcterms:created xsi:type="dcterms:W3CDTF">2019-01-07T06:08:00Z</dcterms:created>
  <dcterms:modified xsi:type="dcterms:W3CDTF">2019-01-07T07:49:00Z</dcterms:modified>
</cp:coreProperties>
</file>